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left="105" w:leftChars="50"/>
        <w:jc w:val="left"/>
        <w:rPr>
          <w:rFonts w:ascii="GRJGQQ+CIDFont+F2"/>
          <w:color w:val="000000"/>
          <w:spacing w:val="-2"/>
          <w:sz w:val="24"/>
          <w:szCs w:val="24"/>
        </w:rPr>
      </w:pP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drawing>
          <wp:anchor distT="0" distB="0" distL="114300" distR="114300" simplePos="0" relativeHeight="251709440"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r>
        <w:rPr>
          <w:rFonts w:ascii="GRJGQQ+CIDFont+F2"/>
          <w:color w:val="000000"/>
          <w:spacing w:val="-2"/>
          <w:sz w:val="24"/>
          <w:szCs w:val="24"/>
        </w:rPr>
        <w:t>ICS</w:t>
      </w:r>
      <w:r>
        <w:rPr>
          <w:rFonts w:hint="eastAsia" w:ascii="GRJGQQ+CIDFont+F2"/>
          <w:color w:val="000000"/>
          <w:spacing w:val="-2"/>
          <w:sz w:val="24"/>
          <w:szCs w:val="24"/>
        </w:rPr>
        <w:t xml:space="preserve"> 11</w:t>
      </w:r>
      <w:r>
        <w:rPr>
          <w:rFonts w:ascii="GRJGQQ+CIDFont+F2"/>
          <w:color w:val="000000"/>
          <w:spacing w:val="-2"/>
          <w:sz w:val="24"/>
          <w:szCs w:val="24"/>
        </w:rPr>
        <w:t>.</w:t>
      </w:r>
      <w:r>
        <w:rPr>
          <w:rFonts w:hint="eastAsia" w:ascii="GRJGQQ+CIDFont+F2"/>
          <w:color w:val="000000"/>
          <w:spacing w:val="-2"/>
          <w:sz w:val="24"/>
          <w:szCs w:val="24"/>
        </w:rPr>
        <w:t>120</w:t>
      </w:r>
      <w:r>
        <w:rPr>
          <w:rFonts w:ascii="GRJGQQ+CIDFont+F2"/>
          <w:color w:val="000000"/>
          <w:spacing w:val="-2"/>
          <w:sz w:val="24"/>
          <w:szCs w:val="24"/>
        </w:rPr>
        <w:t>.</w:t>
      </w:r>
      <w:r>
        <w:rPr>
          <w:rFonts w:hint="eastAsia" w:ascii="GRJGQQ+CIDFont+F2"/>
          <w:color w:val="000000"/>
          <w:spacing w:val="-2"/>
          <w:sz w:val="24"/>
          <w:szCs w:val="24"/>
        </w:rPr>
        <w:t>10</w:t>
      </w: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t>C</w:t>
      </w:r>
      <w:r>
        <w:rPr>
          <w:rFonts w:hint="eastAsia" w:ascii="GRJGQQ+CIDFont+F2"/>
          <w:color w:val="000000"/>
          <w:spacing w:val="-2"/>
          <w:sz w:val="24"/>
          <w:szCs w:val="24"/>
        </w:rPr>
        <w:t xml:space="preserve"> 23</w:t>
      </w:r>
    </w:p>
    <w:p>
      <w:pPr>
        <w:spacing w:before="916" w:line="240" w:lineRule="exact"/>
        <w:jc w:val="center"/>
        <w:rPr>
          <w:rFonts w:ascii="黑体" w:hAnsi="黑体" w:eastAsia="黑体"/>
          <w:color w:val="000000"/>
          <w:sz w:val="44"/>
          <w:szCs w:val="44"/>
        </w:rPr>
      </w:pPr>
      <w:r>
        <w:rPr>
          <w:rFonts w:hint="eastAsia" w:ascii="黑体" w:hAnsi="黑体" w:eastAsia="黑体" w:cs="宋体"/>
          <w:color w:val="000000"/>
          <w:sz w:val="48"/>
          <w:szCs w:val="48"/>
        </w:rPr>
        <w:t>甘肃省中药材产地</w:t>
      </w:r>
      <w:r>
        <w:rPr>
          <w:rFonts w:hint="eastAsia" w:ascii="黑体" w:hAnsi="黑体" w:eastAsia="黑体" w:cs="宋体"/>
          <w:color w:val="000000"/>
          <w:sz w:val="48"/>
          <w:szCs w:val="48"/>
          <w:lang w:eastAsia="zh-CN"/>
        </w:rPr>
        <w:t>生产</w:t>
      </w:r>
      <w:r>
        <w:rPr>
          <w:rFonts w:hint="eastAsia" w:ascii="黑体" w:hAnsi="黑体" w:eastAsia="黑体" w:cs="宋体"/>
          <w:color w:val="000000"/>
          <w:sz w:val="48"/>
          <w:szCs w:val="48"/>
        </w:rPr>
        <w:t>加工标准</w:t>
      </w:r>
    </w:p>
    <w:p>
      <w:pPr>
        <w:spacing w:before="483" w:line="274" w:lineRule="exact"/>
        <w:ind w:firstLine="6832" w:firstLineChars="2800"/>
        <w:jc w:val="left"/>
        <w:rPr>
          <w:rFonts w:hint="eastAsia" w:ascii="方正黑体简体" w:hAnsi="方正黑体简体" w:eastAsia="方正黑体简体" w:cs="方正黑体简体"/>
          <w:color w:val="000000"/>
          <w:spacing w:val="2"/>
          <w:sz w:val="24"/>
          <w:szCs w:val="24"/>
        </w:rPr>
      </w:pP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/T001</w:t>
      </w:r>
      <w:r>
        <w:rPr>
          <w:rFonts w:hint="eastAsia" w:ascii="方正黑体简体" w:hAnsi="方正黑体简体" w:eastAsia="方正黑体简体" w:cs="方正黑体简体"/>
          <w:color w:val="000000"/>
          <w:spacing w:val="2"/>
          <w:sz w:val="24"/>
          <w:szCs w:val="24"/>
          <w:lang w:val="en-US" w:eastAsia="zh-CN"/>
        </w:rPr>
        <w:t>BZ</w:t>
      </w:r>
      <w:r>
        <w:rPr>
          <w:rFonts w:hint="eastAsia" w:ascii="方正黑体简体" w:hAnsi="方正黑体简体" w:eastAsia="方正黑体简体" w:cs="方正黑体简体"/>
          <w:color w:val="000000"/>
          <w:spacing w:val="2"/>
          <w:sz w:val="24"/>
          <w:szCs w:val="24"/>
        </w:rPr>
        <w:t>—2019</w:t>
      </w:r>
    </w:p>
    <w:p>
      <w:pPr>
        <w:spacing w:before="483" w:line="274" w:lineRule="exact"/>
        <w:rPr>
          <w:rFonts w:ascii="黑体" w:hAnsi="黑体" w:eastAsia="黑体" w:cs="GRJGQQ+CIDFont+F2"/>
          <w:color w:val="FFFFFF" w:themeColor="background1"/>
          <w:spacing w:val="-1"/>
          <w:u w:val="thick"/>
        </w:rPr>
      </w:pPr>
      <w:r>
        <w:rPr>
          <w:rFonts w:ascii="宋体" w:hAnsi="宋体" w:eastAsia="宋体" w:cs="微软雅黑"/>
          <w:color w:val="FFFFFF" w:themeColor="background1"/>
          <w:u w:val="single"/>
        </w:rPr>
        <w:t>甲</w:t>
      </w:r>
      <w:r>
        <w:rPr>
          <w:rFonts w:hint="eastAsia" w:ascii="宋体" w:hAnsi="宋体" w:eastAsia="宋体" w:cs="宋体"/>
          <w:color w:val="FFFFFF" w:themeColor="background1"/>
          <w:u w:val="thick"/>
        </w:rPr>
        <w:t>办</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FFFFFF" w:themeColor="background1"/>
          <w:u w:val="thick"/>
        </w:rPr>
        <w:t>办</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ascii="黑体" w:hAnsi="黑体" w:eastAsia="黑体" w:cs="GRJGQQ+CIDFont+F2"/>
          <w:color w:val="FFFFFF" w:themeColor="background1"/>
          <w:spacing w:val="-1"/>
          <w:u w:val="thick"/>
        </w:rPr>
        <w:t>d</w:t>
      </w:r>
    </w:p>
    <w:p>
      <w:pPr>
        <w:pStyle w:val="70"/>
        <w:textAlignment w:val="auto"/>
        <w:rPr>
          <w:sz w:val="44"/>
          <w:szCs w:val="44"/>
        </w:rPr>
      </w:pPr>
    </w:p>
    <w:p>
      <w:pPr>
        <w:pStyle w:val="70"/>
        <w:textAlignment w:val="auto"/>
        <w:rPr>
          <w:sz w:val="44"/>
          <w:szCs w:val="44"/>
        </w:rPr>
      </w:pPr>
    </w:p>
    <w:p>
      <w:pPr>
        <w:pStyle w:val="70"/>
        <w:jc w:val="both"/>
        <w:textAlignment w:val="auto"/>
        <w:rPr>
          <w:sz w:val="44"/>
          <w:szCs w:val="44"/>
        </w:rPr>
      </w:pPr>
    </w:p>
    <w:p>
      <w:pPr>
        <w:pStyle w:val="70"/>
        <w:jc w:val="center"/>
        <w:textAlignment w:val="auto"/>
        <w:rPr>
          <w:sz w:val="44"/>
          <w:szCs w:val="44"/>
        </w:rPr>
      </w:pPr>
      <w:r>
        <w:rPr>
          <w:rFonts w:hint="eastAsia"/>
          <w:sz w:val="44"/>
          <w:szCs w:val="44"/>
        </w:rPr>
        <w:t>当归产地片质量标准</w:t>
      </w: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720" w:line="500" w:lineRule="exact"/>
        <w:ind w:left="3081" w:leftChars="250" w:hanging="2556" w:hangingChars="900"/>
        <w:rPr>
          <w:rFonts w:hint="eastAsia" w:ascii="方正黑体简体" w:hAnsi="方正黑体简体" w:eastAsia="方正黑体简体" w:cs="方正黑体简体"/>
          <w:color w:val="000000"/>
          <w:spacing w:val="2"/>
          <w:sz w:val="28"/>
          <w:szCs w:val="28"/>
          <w:u w:val="single"/>
        </w:rPr>
      </w:pPr>
      <w:r>
        <w:rPr>
          <w:rFonts w:hint="eastAsia" w:ascii="方正黑体简体" w:hAnsi="方正黑体简体" w:eastAsia="方正黑体简体" w:cs="方正黑体简体"/>
          <w:color w:val="000000"/>
          <w:spacing w:val="2"/>
          <w:sz w:val="28"/>
          <w:szCs w:val="28"/>
          <w:u w:val="single"/>
        </w:rPr>
        <w:t>2019-</w:t>
      </w:r>
      <w:r>
        <w:rPr>
          <w:rFonts w:hint="eastAsia" w:ascii="方正黑体简体" w:hAnsi="方正黑体简体" w:eastAsia="方正黑体简体" w:cs="方正黑体简体"/>
          <w:color w:val="000000"/>
          <w:spacing w:val="2"/>
          <w:sz w:val="28"/>
          <w:szCs w:val="28"/>
          <w:u w:val="single"/>
          <w:lang w:val="en-US" w:eastAsia="zh-CN"/>
        </w:rPr>
        <w:t>0</w:t>
      </w:r>
      <w:r>
        <w:rPr>
          <w:rFonts w:hint="eastAsia" w:ascii="方正黑体简体" w:hAnsi="方正黑体简体" w:eastAsia="方正黑体简体" w:cs="方正黑体简体"/>
          <w:color w:val="000000"/>
          <w:spacing w:val="2"/>
          <w:sz w:val="28"/>
          <w:szCs w:val="28"/>
          <w:u w:val="single"/>
        </w:rPr>
        <w:t>8-</w:t>
      </w:r>
      <w:r>
        <w:rPr>
          <w:rFonts w:hint="eastAsia" w:ascii="方正黑体简体" w:hAnsi="方正黑体简体" w:eastAsia="方正黑体简体" w:cs="方正黑体简体"/>
          <w:color w:val="000000"/>
          <w:spacing w:val="2"/>
          <w:sz w:val="28"/>
          <w:szCs w:val="28"/>
          <w:u w:val="single"/>
          <w:lang w:val="en-US" w:eastAsia="zh-CN"/>
        </w:rPr>
        <w:t>23</w:t>
      </w:r>
      <w:bookmarkStart w:id="0" w:name="_GoBack"/>
      <w:bookmarkEnd w:id="0"/>
      <w:r>
        <w:rPr>
          <w:rFonts w:hint="eastAsia" w:ascii="方正黑体简体" w:hAnsi="方正黑体简体" w:eastAsia="方正黑体简体" w:cs="方正黑体简体"/>
          <w:color w:val="000000"/>
          <w:spacing w:val="2"/>
          <w:sz w:val="28"/>
          <w:szCs w:val="28"/>
          <w:u w:val="single"/>
        </w:rPr>
        <w:t>发布                           2019-10-01实施</w:t>
      </w:r>
    </w:p>
    <w:p>
      <w:pPr>
        <w:spacing w:before="720" w:line="500" w:lineRule="exact"/>
        <w:ind w:left="4376" w:leftChars="103" w:hanging="4160" w:hangingChars="1300"/>
        <w:jc w:val="center"/>
        <w:rPr>
          <w:rFonts w:ascii="黑体" w:hAnsi="黑体" w:eastAsia="黑体" w:cs="GRJGQQ+CIDFont+F2"/>
          <w:color w:val="000000"/>
          <w:sz w:val="28"/>
          <w:szCs w:val="28"/>
        </w:rPr>
      </w:pPr>
      <w:r>
        <w:rPr>
          <w:rFonts w:ascii="GRJGQQ+CIDFont+F2" w:hAnsi="GRJGQQ+CIDFont+F2" w:cs="GRJGQQ+CIDFont+F2"/>
          <w:color w:val="000000"/>
          <w:sz w:val="32"/>
          <w:szCs w:val="32"/>
        </w:rPr>
        <w:pict>
          <v:rect id="_x0000_s1076" o:spid="_x0000_s1076" o:spt="1" style="position:absolute;left:0pt;margin-left:203.5pt;margin-top:86.15pt;height:33.3pt;width:75.4pt;z-index:251707392;mso-width-relative:page;mso-height-relative:page;" stroked="t" coordsize="21600,21600">
            <v:path/>
            <v:fill focussize="0,0"/>
            <v:stroke color="#FFFFFF"/>
            <v:imagedata o:title=""/>
            <o:lock v:ext="edit"/>
          </v:rect>
        </w:pict>
      </w:r>
      <w:r>
        <w:rPr>
          <w:rFonts w:ascii="GRJGQQ+CIDFont+F2"/>
          <w:color w:val="000000"/>
          <w:spacing w:val="82"/>
          <w:sz w:val="32"/>
          <w:szCs w:val="32"/>
        </w:rPr>
        <w:t xml:space="preserve"> </w:t>
      </w:r>
      <w:r>
        <w:rPr>
          <w:rFonts w:hint="eastAsia" w:ascii="黑体" w:hAnsi="黑体" w:eastAsia="黑体" w:cs="GRJGQQ+CIDFont+F2"/>
          <w:color w:val="000000"/>
          <w:sz w:val="32"/>
          <w:szCs w:val="32"/>
        </w:rPr>
        <w:t>甘 肃 省 药 品 监 督 管 理 局</w:t>
      </w:r>
      <w:r>
        <w:rPr>
          <w:rFonts w:ascii="GRJGQQ+CIDFont+F2"/>
          <w:color w:val="000000"/>
          <w:spacing w:val="584"/>
        </w:rPr>
        <w:t xml:space="preserve"> </w:t>
      </w:r>
      <w:r>
        <w:rPr>
          <w:rFonts w:ascii="黑体" w:hAnsi="黑体" w:eastAsia="黑体" w:cs="GRJGQQ+CIDFont+F2"/>
          <w:color w:val="000000"/>
          <w:sz w:val="28"/>
          <w:szCs w:val="28"/>
        </w:rPr>
        <w:t>发</w:t>
      </w:r>
      <w:r>
        <w:rPr>
          <w:rFonts w:ascii="黑体" w:hAnsi="黑体" w:eastAsia="黑体"/>
          <w:color w:val="000000"/>
          <w:spacing w:val="85"/>
          <w:sz w:val="28"/>
          <w:szCs w:val="28"/>
        </w:rPr>
        <w:t xml:space="preserve"> </w:t>
      </w:r>
      <w:r>
        <w:rPr>
          <w:rFonts w:ascii="黑体" w:hAnsi="黑体" w:eastAsia="黑体" w:cs="GRJGQQ+CIDFont+F2"/>
          <w:color w:val="000000"/>
          <w:sz w:val="28"/>
          <w:szCs w:val="28"/>
        </w:rPr>
        <w:t>布</w:t>
      </w:r>
    </w:p>
    <w:p>
      <w:pPr>
        <w:spacing w:before="720" w:line="500" w:lineRule="exact"/>
        <w:rPr>
          <w:rFonts w:ascii="宋体" w:hAnsi="宋体" w:eastAsia="宋体" w:cs="GRJGQQ+CIDFont+F2"/>
          <w:color w:val="000000"/>
          <w:spacing w:val="2"/>
          <w:sz w:val="28"/>
          <w:szCs w:val="28"/>
          <w:u w:val="single"/>
        </w:rPr>
        <w:sectPr>
          <w:headerReference r:id="rId5" w:type="first"/>
          <w:headerReference r:id="rId3" w:type="default"/>
          <w:footerReference r:id="rId6" w:type="default"/>
          <w:headerReference r:id="rId4" w:type="even"/>
          <w:pgSz w:w="11850" w:h="16783"/>
          <w:pgMar w:top="584" w:right="1134" w:bottom="1134" w:left="1418" w:header="720" w:footer="720" w:gutter="0"/>
          <w:pgNumType w:start="1"/>
          <w:cols w:space="720" w:num="1"/>
          <w:titlePg/>
          <w:docGrid w:linePitch="1" w:charSpace="0"/>
        </w:sectPr>
      </w:pPr>
    </w:p>
    <w:p>
      <w:pPr>
        <w:spacing w:line="309" w:lineRule="exact"/>
        <w:ind w:firstLine="3680" w:firstLineChars="1150"/>
        <w:rPr>
          <w:rFonts w:ascii="黑体" w:hAnsi="黑体" w:eastAsia="黑体" w:cs="VFQWUQ+CIDFont+F2"/>
          <w:color w:val="000000" w:themeColor="text1"/>
          <w:sz w:val="32"/>
          <w:szCs w:val="32"/>
        </w:rPr>
      </w:pPr>
      <w:r>
        <w:rPr>
          <w:rFonts w:ascii="黑体" w:hAnsi="黑体" w:eastAsia="黑体"/>
          <w:color w:val="000000" w:themeColor="text1"/>
          <w:sz w:val="32"/>
          <w:szCs w:val="32"/>
        </w:rPr>
        <w:drawing>
          <wp:anchor distT="0" distB="0" distL="114300" distR="114300" simplePos="0" relativeHeight="251704320" behindDoc="1" locked="0" layoutInCell="1" allowOverlap="1">
            <wp:simplePos x="0" y="0"/>
            <wp:positionH relativeFrom="page">
              <wp:posOffset>1374140</wp:posOffset>
            </wp:positionH>
            <wp:positionV relativeFrom="page">
              <wp:posOffset>956310</wp:posOffset>
            </wp:positionV>
            <wp:extent cx="5017770" cy="33655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17770" cy="336550"/>
                    </a:xfrm>
                    <a:prstGeom prst="rect">
                      <a:avLst/>
                    </a:prstGeom>
                    <a:noFill/>
                  </pic:spPr>
                </pic:pic>
              </a:graphicData>
            </a:graphic>
          </wp:anchor>
        </w:drawing>
      </w:r>
    </w:p>
    <w:p>
      <w:pPr>
        <w:spacing w:line="309" w:lineRule="exact"/>
        <w:ind w:firstLine="3680" w:firstLineChars="1150"/>
        <w:rPr>
          <w:rFonts w:ascii="黑体" w:hAnsi="黑体" w:eastAsia="黑体"/>
          <w:color w:val="000000" w:themeColor="text1"/>
          <w:sz w:val="32"/>
          <w:szCs w:val="32"/>
        </w:rPr>
      </w:pPr>
      <w:r>
        <w:rPr>
          <w:rFonts w:ascii="黑体" w:hAnsi="黑体" w:eastAsia="黑体" w:cs="VFQWUQ+CIDFont+F2"/>
          <w:color w:val="000000" w:themeColor="text1"/>
          <w:sz w:val="32"/>
          <w:szCs w:val="32"/>
        </w:rPr>
        <w:t>目</w:t>
      </w:r>
      <w:r>
        <w:rPr>
          <w:rFonts w:hint="eastAsia" w:ascii="黑体" w:hAnsi="黑体" w:eastAsia="黑体" w:cs="VFQWUQ+CIDFont+F2"/>
          <w:color w:val="000000" w:themeColor="text1"/>
          <w:sz w:val="32"/>
          <w:szCs w:val="32"/>
        </w:rPr>
        <w:t xml:space="preserve">    </w:t>
      </w:r>
      <w:r>
        <w:rPr>
          <w:rFonts w:ascii="黑体" w:hAnsi="黑体" w:eastAsia="黑体" w:cs="VFQWUQ+CIDFont+F2"/>
          <w:color w:val="000000" w:themeColor="text1"/>
          <w:sz w:val="32"/>
          <w:szCs w:val="32"/>
        </w:rPr>
        <w:t>次</w:t>
      </w:r>
    </w:p>
    <w:p>
      <w:pPr>
        <w:spacing w:before="711" w:line="360" w:lineRule="auto"/>
        <w:ind w:left="-735" w:leftChars="-350" w:firstLine="630" w:firstLineChars="300"/>
        <w:jc w:val="center"/>
        <w:rPr>
          <w:rFonts w:ascii="宋体" w:hAnsi="宋体" w:eastAsia="宋体"/>
          <w:color w:val="000000" w:themeColor="text1"/>
        </w:rPr>
      </w:pPr>
      <w:r>
        <w:rPr>
          <w:rFonts w:ascii="宋体" w:hAnsi="宋体" w:eastAsia="宋体" w:cs="DPVTIA+CIDFont+F3"/>
          <w:color w:val="000000" w:themeColor="text1"/>
        </w:rPr>
        <w:t>前言</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ascii="宋体" w:hAnsi="宋体" w:eastAsia="宋体" w:cs="DPVTIA+CIDFont+F3"/>
          <w:color w:val="000000" w:themeColor="text1"/>
        </w:rPr>
        <w:t>..</w:t>
      </w:r>
      <w:r>
        <w:rPr>
          <w:rFonts w:hint="eastAsia" w:ascii="宋体" w:hAnsi="宋体" w:eastAsia="宋体" w:cs="宋体"/>
          <w:color w:val="000000" w:themeColor="text1"/>
        </w:rPr>
        <w:t>Ⅱ</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1</w:t>
      </w:r>
      <w:r>
        <w:rPr>
          <w:rFonts w:ascii="宋体" w:hAnsi="宋体" w:eastAsia="宋体" w:cs="DPVTIA+CIDFont+F3"/>
          <w:color w:val="000000" w:themeColor="text1"/>
        </w:rPr>
        <w:t>范围......................................................................</w:t>
      </w:r>
      <w:r>
        <w:rPr>
          <w:rFonts w:hint="eastAsia" w:ascii="宋体" w:hAnsi="宋体" w:eastAsia="宋体" w:cs="DPVTIA+CIDFont+F3"/>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2</w:t>
      </w:r>
      <w:r>
        <w:rPr>
          <w:rFonts w:ascii="宋体" w:hAnsi="宋体" w:eastAsia="宋体" w:cs="DPVTIA+CIDFont+F3"/>
          <w:color w:val="000000" w:themeColor="text1"/>
        </w:rPr>
        <w:t>规范性引用文件............................................................</w:t>
      </w:r>
      <w:r>
        <w:rPr>
          <w:rFonts w:hint="eastAsia" w:ascii="宋体" w:hAnsi="宋体" w:eastAsia="宋体" w:cs="DPVTIA+CIDFont+F3"/>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3</w:t>
      </w:r>
      <w:r>
        <w:rPr>
          <w:rFonts w:ascii="宋体" w:hAnsi="宋体" w:eastAsia="宋体" w:cs="DPVTIA+CIDFont+F3"/>
          <w:color w:val="000000" w:themeColor="text1"/>
        </w:rPr>
        <w:t>术语和定义................................................................</w:t>
      </w:r>
      <w:r>
        <w:rPr>
          <w:rFonts w:hint="eastAsia" w:ascii="宋体" w:hAnsi="宋体" w:eastAsia="宋体" w:cs="DPVTIA+CIDFont+F3"/>
          <w:color w:val="000000" w:themeColor="text1"/>
          <w:lang w:val="en-US" w:eastAsia="zh-CN"/>
        </w:rPr>
        <w:t>1</w:t>
      </w:r>
    </w:p>
    <w:p>
      <w:pPr>
        <w:spacing w:before="85" w:line="360" w:lineRule="auto"/>
        <w:ind w:left="-735" w:leftChars="-350" w:firstLine="630" w:firstLineChars="300"/>
        <w:jc w:val="center"/>
        <w:rPr>
          <w:rFonts w:hint="eastAsia" w:ascii="宋体" w:hAnsi="宋体" w:eastAsia="宋体" w:cs="DPVTIA+CIDFont+F3"/>
          <w:color w:val="000000" w:themeColor="text1"/>
          <w:lang w:eastAsia="zh-CN"/>
        </w:rPr>
      </w:pPr>
      <w:r>
        <w:rPr>
          <w:rFonts w:hint="eastAsia" w:ascii="宋体" w:hAnsi="宋体" w:eastAsia="宋体"/>
          <w:color w:val="000000" w:themeColor="text1"/>
          <w:lang w:val="en-US" w:eastAsia="zh-CN"/>
        </w:rPr>
        <w:t xml:space="preserve"> </w:t>
      </w:r>
      <w:r>
        <w:rPr>
          <w:rFonts w:ascii="宋体" w:hAnsi="宋体" w:eastAsia="宋体"/>
          <w:color w:val="000000" w:themeColor="text1"/>
        </w:rPr>
        <w:t>4</w:t>
      </w:r>
      <w:r>
        <w:rPr>
          <w:rFonts w:hint="eastAsia" w:ascii="宋体" w:hAnsi="宋体" w:eastAsia="宋体"/>
          <w:color w:val="000000" w:themeColor="text1"/>
        </w:rPr>
        <w:t>质量</w:t>
      </w:r>
      <w:r>
        <w:rPr>
          <w:rFonts w:ascii="宋体" w:hAnsi="宋体" w:eastAsia="宋体" w:cs="DPVTIA+CIDFont+F3"/>
          <w:color w:val="000000" w:themeColor="text1"/>
        </w:rPr>
        <w:t>要求..................................................................</w:t>
      </w:r>
      <w:r>
        <w:rPr>
          <w:rFonts w:hint="eastAsia" w:ascii="宋体" w:hAnsi="宋体" w:eastAsia="宋体" w:cs="DPVTIA+CIDFont+F3"/>
          <w:color w:val="000000" w:themeColor="text1"/>
          <w:lang w:val="en-US" w:eastAsia="zh-CN"/>
        </w:rPr>
        <w:t>1</w:t>
      </w:r>
    </w:p>
    <w:p>
      <w:pPr>
        <w:spacing w:before="87" w:line="360" w:lineRule="auto"/>
        <w:ind w:firstLine="525" w:firstLineChars="250"/>
        <w:jc w:val="left"/>
        <w:rPr>
          <w:rFonts w:hint="eastAsia" w:ascii="宋体" w:hAnsi="宋体" w:eastAsia="宋体"/>
          <w:color w:val="000000" w:themeColor="text1"/>
          <w:lang w:eastAsia="zh-CN"/>
        </w:rPr>
      </w:pPr>
      <w:r>
        <w:rPr>
          <w:rFonts w:hint="eastAsia" w:ascii="宋体" w:hAnsi="宋体" w:eastAsia="宋体"/>
          <w:color w:val="000000" w:themeColor="text1"/>
        </w:rPr>
        <w:t>5</w:t>
      </w:r>
      <w:r>
        <w:rPr>
          <w:rFonts w:hint="eastAsia" w:ascii="宋体" w:hAnsi="宋体" w:eastAsia="宋体" w:cs="DPVTIA+CIDFont+F3"/>
          <w:color w:val="000000" w:themeColor="text1"/>
        </w:rPr>
        <w:t>附注</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4</w:t>
      </w:r>
    </w:p>
    <w:p>
      <w:pPr>
        <w:spacing w:before="87" w:line="360" w:lineRule="auto"/>
        <w:jc w:val="left"/>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3840" w:firstLineChars="1200"/>
        <w:rPr>
          <w:rFonts w:ascii="黑体" w:hAnsi="黑体" w:eastAsia="黑体"/>
          <w:color w:val="000000" w:themeColor="text1"/>
          <w:sz w:val="32"/>
          <w:szCs w:val="32"/>
        </w:rPr>
      </w:pPr>
      <w:r>
        <w:rPr>
          <w:rFonts w:ascii="黑体" w:hAnsi="黑体" w:eastAsia="黑体" w:cs="UMVNCG+CIDFont+F2"/>
          <w:color w:val="000000" w:themeColor="text1"/>
          <w:sz w:val="32"/>
          <w:szCs w:val="32"/>
        </w:rPr>
        <w:t>前</w:t>
      </w:r>
      <w:r>
        <w:rPr>
          <w:rFonts w:hint="eastAsia" w:ascii="黑体" w:hAnsi="黑体" w:eastAsia="黑体" w:cs="UMVNCG+CIDFont+F2"/>
          <w:color w:val="000000" w:themeColor="text1"/>
          <w:sz w:val="32"/>
          <w:szCs w:val="32"/>
        </w:rPr>
        <w:t xml:space="preserve">    </w:t>
      </w:r>
      <w:r>
        <w:rPr>
          <w:rFonts w:ascii="黑体" w:hAnsi="黑体" w:eastAsia="黑体" w:cs="UMVNCG+CIDFont+F2"/>
          <w:color w:val="000000" w:themeColor="text1"/>
          <w:sz w:val="32"/>
          <w:szCs w:val="32"/>
        </w:rPr>
        <w:t>言</w:t>
      </w:r>
    </w:p>
    <w:p>
      <w:pPr>
        <w:spacing w:before="85"/>
        <w:ind w:left="396"/>
        <w:rPr>
          <w:rFonts w:ascii="宋体" w:hAnsi="宋体" w:eastAsia="宋体" w:cs="微软雅黑"/>
          <w:strike/>
          <w:color w:val="000000" w:themeColor="text1"/>
          <w:spacing w:val="-2"/>
        </w:rPr>
      </w:pPr>
    </w:p>
    <w:p>
      <w:pPr>
        <w:keepNext w:val="0"/>
        <w:keepLines w:val="0"/>
        <w:pageBreakBefore w:val="0"/>
        <w:widowControl/>
        <w:kinsoku/>
        <w:wordWrap/>
        <w:overflowPunct/>
        <w:topLinePunct w:val="0"/>
        <w:autoSpaceDE/>
        <w:autoSpaceDN/>
        <w:bidi w:val="0"/>
        <w:adjustRightInd/>
        <w:snapToGrid/>
        <w:spacing w:line="360" w:lineRule="auto"/>
        <w:ind w:firstLine="412" w:firstLineChars="200"/>
        <w:jc w:val="left"/>
        <w:textAlignment w:val="auto"/>
        <w:rPr>
          <w:rFonts w:ascii="宋体" w:hAnsi="宋体" w:eastAsia="宋体" w:cs="微软雅黑"/>
          <w:color w:val="000000" w:themeColor="text1"/>
          <w:spacing w:val="-2"/>
        </w:rPr>
      </w:pPr>
      <w:r>
        <w:rPr>
          <w:rFonts w:hint="eastAsia" w:ascii="宋体" w:hAnsi="宋体" w:eastAsia="宋体" w:cs="微软雅黑"/>
          <w:color w:val="000000" w:themeColor="text1"/>
          <w:spacing w:val="-2"/>
        </w:rPr>
        <w:t>本标准按GB/T1.1-2009给出的规则起草。</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编制本标准的样品采自甘肃省主要的中药饮片生产企业，全部样品为人工种植当归产地加工成的商品规格与等级。编制本标准时，充分保留了甘肃各地在长期的产地加工和商品流通中形成的各类产地加工片规格，以利于各行业的应用。</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olor w:val="000000" w:themeColor="text1"/>
        </w:rPr>
      </w:pPr>
      <w:r>
        <w:rPr>
          <w:rFonts w:hint="eastAsia" w:ascii="宋体" w:hAnsi="宋体" w:eastAsia="宋体" w:cs="微软雅黑"/>
          <w:color w:val="000000" w:themeColor="text1"/>
          <w:spacing w:val="-3"/>
        </w:rPr>
        <w:t>本标准由甘肃省药品监督管理局提出并归口</w:t>
      </w:r>
      <w:r>
        <w:rPr>
          <w:rFonts w:hint="eastAsia" w:ascii="宋体" w:hAnsi="宋体" w:eastAsia="宋体" w:cs="Malgun Gothic"/>
          <w:color w:val="000000" w:themeColor="text1"/>
          <w:spacing w:val="-3"/>
        </w:rPr>
        <w:t>。</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本标准负责起草单位</w:t>
      </w:r>
      <w:r>
        <w:rPr>
          <w:rFonts w:hint="eastAsia" w:ascii="宋体" w:hAnsi="宋体" w:eastAsia="宋体" w:cs="Malgun Gothic"/>
          <w:color w:val="000000" w:themeColor="text1"/>
          <w:spacing w:val="-3"/>
        </w:rPr>
        <w:t>：</w:t>
      </w:r>
      <w:r>
        <w:rPr>
          <w:rFonts w:hint="eastAsia" w:ascii="宋体" w:hAnsi="宋体" w:eastAsia="宋体" w:cs="微软雅黑"/>
          <w:color w:val="000000" w:themeColor="text1"/>
          <w:spacing w:val="-3"/>
        </w:rPr>
        <w:t>甘肃省药品检验研究院</w:t>
      </w:r>
      <w:r>
        <w:rPr>
          <w:rFonts w:ascii="宋体" w:hAnsi="宋体" w:eastAsia="宋体" w:cs="OTAIGI+CIDFont+F3"/>
          <w:color w:val="000000" w:themeColor="text1"/>
          <w:spacing w:val="-3"/>
        </w:rPr>
        <w:t>、</w:t>
      </w:r>
      <w:r>
        <w:rPr>
          <w:rFonts w:hint="eastAsia" w:ascii="宋体" w:hAnsi="宋体" w:eastAsia="宋体" w:cs="OTAIGI+CIDFont+F3"/>
          <w:color w:val="000000" w:themeColor="text1"/>
          <w:spacing w:val="-3"/>
        </w:rPr>
        <w:t>定西市中医药产业发展局。</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本标准参加起草单位：岷县顺兴和中药材有限责任公司、甘肃九州天润中药产业有限公司、甘肃中天药业有限责任公司</w:t>
      </w:r>
      <w:r>
        <w:rPr>
          <w:rFonts w:hint="eastAsia" w:ascii="宋体" w:hAnsi="宋体" w:eastAsia="宋体" w:cs="OTAIGI+CIDFont+F3"/>
          <w:color w:val="000000" w:themeColor="text1"/>
          <w:spacing w:val="-3"/>
        </w:rPr>
        <w:t>、中国食品药品检定研究院</w:t>
      </w:r>
      <w:r>
        <w:rPr>
          <w:rFonts w:hint="eastAsia" w:ascii="宋体" w:hAnsi="宋体" w:eastAsia="宋体" w:cs="微软雅黑"/>
          <w:color w:val="000000" w:themeColor="text1"/>
          <w:spacing w:val="-3"/>
        </w:rPr>
        <w:t>、北京中医药大学、甘肃同君堂药业有限公司、甘肃弘润药业有限公司、甘肃华庆堂药业饮片有限公司、甘肃伊真堂药业有限责任公司、陇西保和堂药业有限责任公司、甘肃神农文峰药业有限公司、陇西奇正药材有限公司、甘肃圣源中药材有限公司、甘肃普尔康药业有限公司、甘肃国峰药业有限公司、甘肃汉草品汇中药饮片有限公司、岷县蘅阳中药材药业有限公司、甘肃岷归中药材科技有限公司、陇西正大药业有限公司、岷县归芪堂药业有限公司、甘肃省高校协同创新科技团队、甘肃省道地药材研究所、甘肃省中藏药检验检测技术工程研究中心、甘肃省中藏药检验检测技术工程实验室、甘肃省药学学会、渭源县市场监督管理局。</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本标准主要起草人：宋平顺、魏锋、马双成、杨平荣、倪琳、景小勤、杨克谦、</w:t>
      </w:r>
      <w:r>
        <w:rPr>
          <w:rFonts w:hint="eastAsia" w:ascii="宋体" w:hAnsi="宋体" w:eastAsia="宋体" w:cs="微软雅黑"/>
          <w:color w:val="000000" w:themeColor="text1"/>
          <w:spacing w:val="-3"/>
          <w:lang w:eastAsia="zh-CN"/>
        </w:rPr>
        <w:t>贺军权、</w:t>
      </w:r>
      <w:r>
        <w:rPr>
          <w:rFonts w:hint="eastAsia" w:ascii="宋体" w:hAnsi="宋体" w:eastAsia="宋体" w:cs="微软雅黑"/>
          <w:color w:val="000000" w:themeColor="text1"/>
          <w:spacing w:val="-3"/>
        </w:rPr>
        <w:t>党伟</w:t>
      </w:r>
      <w:r>
        <w:rPr>
          <w:rFonts w:hint="eastAsia" w:ascii="宋体" w:hAnsi="宋体" w:eastAsia="宋体" w:cs="微软雅黑"/>
          <w:color w:val="000000" w:themeColor="text1"/>
          <w:spacing w:val="-3"/>
          <w:lang w:eastAsia="zh-CN"/>
        </w:rPr>
        <w:t>、</w:t>
      </w:r>
      <w:r>
        <w:rPr>
          <w:rFonts w:hint="eastAsia" w:ascii="宋体" w:hAnsi="宋体" w:eastAsia="宋体" w:cs="微软雅黑"/>
          <w:color w:val="000000" w:themeColor="text1"/>
          <w:spacing w:val="-3"/>
        </w:rPr>
        <w:t>刘春生。</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参加起草人：孟小中、赵文祯、王引权、陈杰、马中森、曹登铭、李雪雯、王啟龙、刘富强、杨耘、卢雪蕊、刘志浩、蔺瑞丽、杨新平、李庆、孙维宏、王玉兰、乔玉梅、李登鹏、王雁云、刘明芳、黄满中、肖海云、张守福、刘蘅嶙。</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本标准首次发布</w:t>
      </w:r>
      <w:r>
        <w:rPr>
          <w:rFonts w:hint="eastAsia" w:ascii="宋体" w:hAnsi="宋体" w:eastAsia="宋体" w:cs="微软雅黑"/>
          <w:color w:val="000000" w:themeColor="text1"/>
          <w:spacing w:val="-3"/>
          <w:lang w:eastAsia="zh-CN"/>
        </w:rPr>
        <w:t>，为推荐性标准。</w:t>
      </w:r>
    </w:p>
    <w:p>
      <w:pPr>
        <w:spacing w:before="85"/>
        <w:rPr>
          <w:rFonts w:ascii="宋体" w:hAnsi="宋体" w:eastAsia="宋体" w:cs="OTAIGI+CIDFont+F3"/>
          <w:spacing w:val="-3"/>
        </w:rPr>
      </w:pPr>
    </w:p>
    <w:p>
      <w:pPr>
        <w:spacing w:before="85"/>
        <w:rPr>
          <w:rFonts w:ascii="宋体" w:hAnsi="宋体" w:eastAsia="宋体" w:cs="OTAIGI+CIDFont+F3"/>
          <w:color w:val="000000" w:themeColor="text1"/>
          <w:spacing w:val="-3"/>
        </w:rPr>
      </w:pPr>
    </w:p>
    <w:p>
      <w:pPr>
        <w:spacing w:before="711"/>
        <w:ind w:left="396"/>
        <w:rPr>
          <w:rFonts w:ascii="宋体" w:hAnsi="宋体" w:eastAsia="宋体" w:cs="微软雅黑"/>
          <w:color w:val="000000" w:themeColor="text1"/>
          <w:spacing w:val="-2"/>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sectPr>
          <w:footerReference r:id="rId7" w:type="default"/>
          <w:pgSz w:w="11906" w:h="16838"/>
          <w:pgMar w:top="1701" w:right="1440" w:bottom="1440" w:left="1440" w:header="708" w:footer="708" w:gutter="0"/>
          <w:pgNumType w:fmt="upperRoman" w:start="1"/>
          <w:cols w:space="720" w:num="1"/>
          <w:docGrid w:linePitch="360" w:charSpace="6144"/>
        </w:sectPr>
      </w:pPr>
    </w:p>
    <w:p>
      <w:pPr>
        <w:wordWrap w:val="0"/>
        <w:spacing w:line="312" w:lineRule="auto"/>
        <w:rPr>
          <w:rFonts w:ascii="宋体" w:hAnsi="宋体" w:eastAsia="宋体"/>
          <w:color w:val="000000" w:themeColor="text1"/>
        </w:rPr>
      </w:pPr>
    </w:p>
    <w:p>
      <w:pPr>
        <w:spacing w:line="312" w:lineRule="auto"/>
        <w:jc w:val="center"/>
        <w:rPr>
          <w:rFonts w:ascii="黑体" w:hAnsi="黑体" w:eastAsia="黑体"/>
          <w:color w:val="000000" w:themeColor="text1"/>
          <w:sz w:val="32"/>
          <w:szCs w:val="32"/>
        </w:rPr>
      </w:pPr>
    </w:p>
    <w:p>
      <w:pPr>
        <w:spacing w:line="312" w:lineRule="auto"/>
        <w:jc w:val="center"/>
        <w:rPr>
          <w:rFonts w:ascii="黑体" w:hAnsi="黑体" w:eastAsia="黑体"/>
          <w:color w:val="000000" w:themeColor="text1"/>
          <w:sz w:val="32"/>
          <w:szCs w:val="32"/>
        </w:rPr>
      </w:pPr>
      <w:r>
        <w:rPr>
          <w:rFonts w:hint="eastAsia" w:ascii="黑体" w:hAnsi="黑体" w:eastAsia="黑体"/>
          <w:color w:val="000000" w:themeColor="text1"/>
          <w:sz w:val="32"/>
          <w:szCs w:val="32"/>
        </w:rPr>
        <w:t>当归产地片质量标准</w: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ascii="黑体" w:hAnsi="黑体" w:eastAsia="黑体"/>
          <w:color w:val="000000" w:themeColor="text1"/>
        </w:rPr>
        <w:t>1 范围</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本标准规定了</w:t>
      </w:r>
      <w:r>
        <w:rPr>
          <w:rFonts w:hint="eastAsia" w:ascii="宋体" w:hAnsi="宋体" w:eastAsia="宋体"/>
          <w:color w:val="000000" w:themeColor="text1"/>
        </w:rPr>
        <w:t>采用传统方法加工当归</w:t>
      </w:r>
      <w:r>
        <w:rPr>
          <w:rFonts w:ascii="宋体" w:hAnsi="宋体" w:eastAsia="宋体"/>
          <w:color w:val="000000" w:themeColor="text1"/>
        </w:rPr>
        <w:t>产地</w:t>
      </w:r>
      <w:r>
        <w:rPr>
          <w:rFonts w:hint="eastAsia" w:ascii="宋体" w:hAnsi="宋体" w:eastAsia="宋体"/>
          <w:color w:val="000000" w:themeColor="text1"/>
        </w:rPr>
        <w:t>片</w:t>
      </w:r>
      <w:r>
        <w:rPr>
          <w:rFonts w:ascii="宋体" w:hAnsi="宋体" w:eastAsia="宋体"/>
          <w:color w:val="000000" w:themeColor="text1"/>
        </w:rPr>
        <w:t>的</w:t>
      </w:r>
      <w:r>
        <w:rPr>
          <w:rFonts w:hint="eastAsia" w:ascii="宋体" w:hAnsi="宋体" w:eastAsia="宋体"/>
          <w:color w:val="000000" w:themeColor="text1"/>
        </w:rPr>
        <w:t>质量要求</w:t>
      </w:r>
      <w:r>
        <w:rPr>
          <w:rFonts w:ascii="宋体" w:hAnsi="宋体" w:eastAsia="宋体"/>
          <w:color w:val="000000" w:themeColor="text1"/>
        </w:rPr>
        <w:t>，内容包括：</w:t>
      </w:r>
      <w:r>
        <w:rPr>
          <w:rFonts w:hint="eastAsia" w:ascii="宋体" w:hAnsi="宋体" w:eastAsia="宋体"/>
          <w:color w:val="000000" w:themeColor="text1"/>
        </w:rPr>
        <w:t>当归</w:t>
      </w:r>
      <w:r>
        <w:rPr>
          <w:rFonts w:ascii="宋体" w:hAnsi="宋体" w:eastAsia="宋体"/>
          <w:color w:val="000000" w:themeColor="text1"/>
        </w:rPr>
        <w:t>产地</w:t>
      </w:r>
      <w:r>
        <w:rPr>
          <w:rFonts w:hint="eastAsia" w:ascii="宋体" w:hAnsi="宋体" w:eastAsia="宋体"/>
          <w:color w:val="000000" w:themeColor="text1"/>
        </w:rPr>
        <w:t>片规格与等级、</w:t>
      </w:r>
      <w:r>
        <w:rPr>
          <w:rFonts w:ascii="宋体" w:hAnsi="宋体" w:eastAsia="宋体"/>
          <w:color w:val="000000" w:themeColor="text1"/>
        </w:rPr>
        <w:t>质量要求</w:t>
      </w:r>
      <w:r>
        <w:rPr>
          <w:rFonts w:hint="eastAsia" w:ascii="宋体" w:hAnsi="宋体" w:eastAsia="宋体"/>
          <w:color w:val="000000" w:themeColor="text1"/>
        </w:rPr>
        <w:t>、检验方法</w:t>
      </w:r>
      <w:r>
        <w:rPr>
          <w:rFonts w:ascii="宋体" w:hAnsi="宋体" w:eastAsia="宋体"/>
          <w:color w:val="000000" w:themeColor="text1"/>
        </w:rPr>
        <w:t>等。</w:t>
      </w:r>
    </w:p>
    <w:p>
      <w:pPr>
        <w:wordWrap w:val="0"/>
        <w:spacing w:line="360" w:lineRule="auto"/>
        <w:ind w:firstLine="420" w:firstLineChars="200"/>
        <w:rPr>
          <w:rFonts w:hint="eastAsia" w:ascii="宋体" w:hAnsi="宋体" w:eastAsiaTheme="minorEastAsia"/>
          <w:u w:val="none"/>
          <w:lang w:eastAsia="zh-CN"/>
        </w:rPr>
      </w:pPr>
      <w:r>
        <w:rPr>
          <w:rFonts w:ascii="宋体" w:hAnsi="宋体" w:eastAsia="宋体"/>
          <w:u w:val="none"/>
        </w:rPr>
        <w:t>本标准适用于</w:t>
      </w:r>
      <w:r>
        <w:rPr>
          <w:rFonts w:hint="eastAsia" w:ascii="宋体" w:hAnsi="宋体" w:eastAsia="宋体"/>
          <w:u w:val="none"/>
        </w:rPr>
        <w:t>当归</w:t>
      </w:r>
      <w:r>
        <w:rPr>
          <w:rFonts w:ascii="宋体" w:hAnsi="宋体" w:eastAsia="宋体"/>
          <w:u w:val="none"/>
        </w:rPr>
        <w:t>产地</w:t>
      </w:r>
      <w:r>
        <w:rPr>
          <w:rFonts w:hint="eastAsia" w:ascii="宋体" w:hAnsi="宋体" w:eastAsia="宋体"/>
          <w:u w:val="none"/>
        </w:rPr>
        <w:t>片</w:t>
      </w:r>
      <w:r>
        <w:rPr>
          <w:rFonts w:ascii="ˎ̥" w:hAnsi="ˎ̥"/>
          <w:u w:val="none"/>
        </w:rPr>
        <w:t>生产、经营</w:t>
      </w:r>
      <w:r>
        <w:rPr>
          <w:rFonts w:hint="eastAsia" w:ascii="ˎ̥" w:hAnsi="ˎ̥"/>
          <w:u w:val="none"/>
        </w:rPr>
        <w:t>和</w:t>
      </w:r>
      <w:r>
        <w:rPr>
          <w:rFonts w:ascii="ˎ̥" w:hAnsi="ˎ̥"/>
          <w:u w:val="none"/>
        </w:rPr>
        <w:t>使用</w:t>
      </w:r>
      <w:r>
        <w:rPr>
          <w:rFonts w:hint="eastAsia" w:ascii="ˎ̥" w:hAnsi="ˎ̥"/>
          <w:u w:val="none"/>
        </w:rPr>
        <w:t>的</w:t>
      </w:r>
      <w:r>
        <w:rPr>
          <w:rFonts w:ascii="ˎ̥" w:hAnsi="ˎ̥"/>
          <w:u w:val="none"/>
        </w:rPr>
        <w:t>质量检验</w:t>
      </w:r>
      <w:r>
        <w:rPr>
          <w:rFonts w:hint="eastAsia" w:ascii="ˎ̥" w:hAnsi="ˎ̥"/>
          <w:u w:val="none"/>
          <w:lang w:eastAsia="zh-CN"/>
        </w:rPr>
        <w:t>。</w:t>
      </w:r>
    </w:p>
    <w:p>
      <w:pPr>
        <w:wordWrap w:val="0"/>
        <w:spacing w:line="360" w:lineRule="auto"/>
        <w:rPr>
          <w:rFonts w:ascii="黑体" w:hAnsi="黑体" w:eastAsia="黑体"/>
          <w:color w:val="000000" w:themeColor="text1"/>
        </w:rPr>
      </w:pPr>
      <w:r>
        <w:rPr>
          <w:rFonts w:ascii="黑体" w:hAnsi="黑体" w:eastAsia="黑体"/>
          <w:color w:val="000000" w:themeColor="text1"/>
        </w:rPr>
        <w:t>2 规范性引用文件</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下列文件对于本文件的应用是必不可少的。凡是注日期的引用文件，仅所注日期的版本适用于本文件。凡是不注日期的引用文件，其最新版本（包括所有的修改单项）适用于本文件。</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w:t>
      </w:r>
      <w:r>
        <w:rPr>
          <w:rFonts w:ascii="宋体" w:hAnsi="宋体" w:eastAsia="宋体"/>
          <w:color w:val="000000" w:themeColor="text1"/>
        </w:rPr>
        <w:t>中华人民共和国药典</w:t>
      </w:r>
      <w:r>
        <w:rPr>
          <w:rFonts w:hint="eastAsia" w:ascii="宋体" w:hAnsi="宋体" w:eastAsia="宋体"/>
          <w:color w:val="000000" w:themeColor="text1"/>
        </w:rPr>
        <w:t>》</w:t>
      </w:r>
      <w:r>
        <w:rPr>
          <w:rFonts w:ascii="宋体" w:hAnsi="宋体" w:eastAsia="宋体"/>
          <w:color w:val="000000" w:themeColor="text1"/>
        </w:rPr>
        <w:t>（2015 年版一部</w:t>
      </w:r>
      <w:r>
        <w:rPr>
          <w:rFonts w:hint="eastAsia" w:ascii="宋体" w:hAnsi="宋体" w:eastAsia="宋体"/>
          <w:color w:val="000000" w:themeColor="text1"/>
        </w:rPr>
        <w:t>、四部</w:t>
      </w:r>
      <w:r>
        <w:rPr>
          <w:rFonts w:ascii="宋体" w:hAnsi="宋体" w:eastAsia="宋体"/>
          <w:color w:val="000000" w:themeColor="text1"/>
        </w:rPr>
        <w:t>）</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《中药饮片质量标准通则》(国家中医药管理局)</w:t>
      </w:r>
    </w:p>
    <w:p>
      <w:pPr>
        <w:wordWrap w:val="0"/>
        <w:spacing w:line="360" w:lineRule="auto"/>
        <w:rPr>
          <w:rFonts w:ascii="黑体" w:hAnsi="黑体" w:eastAsia="黑体"/>
          <w:color w:val="000000" w:themeColor="text1"/>
        </w:rPr>
      </w:pPr>
      <w:r>
        <w:rPr>
          <w:rFonts w:ascii="黑体" w:hAnsi="黑体" w:eastAsia="黑体"/>
          <w:color w:val="000000" w:themeColor="text1"/>
        </w:rPr>
        <w:t>3 术语和定义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下列术语和定义适用于本文件。</w:t>
      </w:r>
    </w:p>
    <w:p>
      <w:pPr>
        <w:wordWrap w:val="0"/>
        <w:spacing w:line="360" w:lineRule="auto"/>
        <w:rPr>
          <w:rFonts w:ascii="黑体" w:hAnsi="黑体" w:eastAsia="黑体"/>
          <w:color w:val="000000" w:themeColor="text1"/>
        </w:rPr>
      </w:pPr>
      <w:r>
        <w:rPr>
          <w:rFonts w:ascii="黑体" w:hAnsi="黑体" w:eastAsia="黑体"/>
          <w:color w:val="000000" w:themeColor="text1"/>
        </w:rPr>
        <w:t>3.1</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当归</w:t>
      </w:r>
    </w:p>
    <w:p>
      <w:pPr>
        <w:wordWrap w:val="0"/>
        <w:spacing w:line="312" w:lineRule="auto"/>
        <w:ind w:firstLine="420" w:firstLineChars="200"/>
        <w:rPr>
          <w:rFonts w:ascii="宋体" w:hAnsi="宋体" w:eastAsia="宋体" w:cstheme="minorEastAsia"/>
          <w:color w:val="000000" w:themeColor="text1"/>
        </w:rPr>
      </w:pPr>
      <w:r>
        <w:rPr>
          <w:rFonts w:hint="eastAsia" w:ascii="宋体" w:hAnsi="宋体" w:eastAsia="宋体" w:cstheme="minorEastAsia"/>
          <w:color w:val="000000" w:themeColor="text1"/>
        </w:rPr>
        <w:t>为伞形科植物当归</w:t>
      </w:r>
      <w:r>
        <w:rPr>
          <w:rFonts w:ascii="Times New Roman" w:hAnsi="Times New Roman" w:eastAsia="宋体" w:cs="Times New Roman"/>
          <w:i/>
          <w:iCs/>
          <w:color w:val="000000" w:themeColor="text1"/>
        </w:rPr>
        <w:t>Angelica sinensis</w:t>
      </w:r>
      <w:r>
        <w:rPr>
          <w:rFonts w:ascii="Times New Roman" w:hAnsi="Times New Roman" w:eastAsia="宋体" w:cs="Times New Roman"/>
          <w:color w:val="000000" w:themeColor="text1"/>
        </w:rPr>
        <w:t>(Oliv)Diels</w:t>
      </w:r>
      <w:r>
        <w:rPr>
          <w:rFonts w:hint="eastAsia" w:ascii="宋体" w:hAnsi="宋体" w:eastAsia="宋体" w:cstheme="minorEastAsia"/>
          <w:color w:val="000000" w:themeColor="text1"/>
        </w:rPr>
        <w:t>的干燥根。</w:t>
      </w:r>
    </w:p>
    <w:p>
      <w:pPr>
        <w:wordWrap w:val="0"/>
        <w:spacing w:line="312" w:lineRule="auto"/>
        <w:ind w:firstLine="420" w:firstLineChars="200"/>
        <w:rPr>
          <w:rFonts w:ascii="宋体" w:hAnsi="宋体" w:eastAsia="宋体" w:cstheme="minorEastAsia"/>
          <w:color w:val="000000" w:themeColor="text1"/>
        </w:rPr>
      </w:pPr>
      <w:r>
        <w:rPr>
          <w:rFonts w:hint="eastAsia" w:ascii="宋体" w:hAnsi="宋体" w:eastAsia="宋体" w:cstheme="minorEastAsia"/>
          <w:color w:val="000000" w:themeColor="text1"/>
        </w:rPr>
        <w:t>主产于甘肃，四川、云南、青海亦产。</w:t>
      </w:r>
      <w:r>
        <w:rPr>
          <w:rFonts w:hint="eastAsia" w:ascii="宋体" w:hAnsi="宋体" w:eastAsia="宋体"/>
          <w:color w:val="000000" w:themeColor="text1"/>
        </w:rPr>
        <w:t>为甘肃的道地药材。</w:t>
      </w:r>
    </w:p>
    <w:p>
      <w:pPr>
        <w:wordWrap w:val="0"/>
        <w:spacing w:line="360" w:lineRule="auto"/>
        <w:rPr>
          <w:rFonts w:ascii="宋体" w:hAnsi="宋体" w:eastAsia="宋体"/>
          <w:color w:val="000000" w:themeColor="text1"/>
        </w:rPr>
      </w:pPr>
      <w:r>
        <w:rPr>
          <w:rFonts w:ascii="黑体" w:hAnsi="黑体" w:eastAsia="黑体"/>
          <w:color w:val="000000" w:themeColor="text1"/>
        </w:rPr>
        <w:t>3.2</w:t>
      </w:r>
      <w:r>
        <w:rPr>
          <w:rFonts w:hint="eastAsia" w:ascii="黑体" w:hAnsi="黑体" w:eastAsia="黑体"/>
          <w:color w:val="000000" w:themeColor="text1"/>
        </w:rPr>
        <w:t xml:space="preserve"> 原药材</w:t>
      </w:r>
    </w:p>
    <w:p>
      <w:pPr>
        <w:wordWrap w:val="0"/>
        <w:spacing w:line="312" w:lineRule="auto"/>
        <w:ind w:firstLine="420" w:firstLineChars="200"/>
        <w:rPr>
          <w:rFonts w:ascii="宋体" w:hAnsi="宋体" w:eastAsia="宋体"/>
        </w:rPr>
      </w:pPr>
      <w:r>
        <w:rPr>
          <w:rFonts w:hint="eastAsia" w:ascii="宋体" w:hAnsi="宋体" w:eastAsia="宋体"/>
        </w:rPr>
        <w:t>秋末采挖，除去须根和泥沙，待水分稍蒸发后，捆成小把，上棚，用烟火慢慢熏干；或晾晒、热风烘干后的当归药材。</w:t>
      </w:r>
    </w:p>
    <w:p>
      <w:pPr>
        <w:wordWrap w:val="0"/>
        <w:spacing w:line="360" w:lineRule="auto"/>
        <w:rPr>
          <w:rFonts w:ascii="黑体" w:hAnsi="黑体" w:eastAsia="黑体"/>
          <w:color w:val="000000" w:themeColor="text1"/>
        </w:rPr>
      </w:pPr>
      <w:r>
        <w:rPr>
          <w:rFonts w:ascii="黑体" w:hAnsi="黑体" w:eastAsia="黑体"/>
          <w:color w:val="000000" w:themeColor="text1"/>
        </w:rPr>
        <w:t>3.3</w:t>
      </w:r>
      <w:r>
        <w:rPr>
          <w:rFonts w:hint="eastAsia" w:ascii="黑体" w:hAnsi="黑体" w:eastAsia="黑体"/>
          <w:color w:val="000000" w:themeColor="text1"/>
        </w:rPr>
        <w:t xml:space="preserve"> 产地加工切片</w:t>
      </w:r>
    </w:p>
    <w:p>
      <w:pPr>
        <w:wordWrap w:val="0"/>
        <w:spacing w:line="360" w:lineRule="auto"/>
        <w:ind w:firstLine="420" w:firstLineChars="200"/>
        <w:rPr>
          <w:rFonts w:asciiTheme="minorEastAsia" w:hAnsiTheme="minorEastAsia"/>
          <w:color w:val="000000" w:themeColor="text1"/>
        </w:rPr>
      </w:pPr>
      <w:r>
        <w:rPr>
          <w:rFonts w:hint="eastAsia" w:ascii="宋体" w:hAnsi="宋体" w:eastAsia="宋体"/>
          <w:color w:val="000000" w:themeColor="text1"/>
        </w:rPr>
        <w:t>对当归原药材在产地进行净选</w:t>
      </w:r>
      <w:r>
        <w:rPr>
          <w:rFonts w:hint="eastAsia" w:ascii="宋体" w:hAnsi="宋体" w:eastAsia="宋体"/>
        </w:rPr>
        <w:t>、切制等传统工艺的处理，</w:t>
      </w:r>
      <w:r>
        <w:rPr>
          <w:rFonts w:hint="eastAsia" w:asciiTheme="minorEastAsia" w:hAnsiTheme="minorEastAsia"/>
        </w:rPr>
        <w:t>加</w:t>
      </w:r>
      <w:r>
        <w:rPr>
          <w:rFonts w:hint="eastAsia" w:asciiTheme="minorEastAsia" w:hAnsiTheme="minorEastAsia"/>
          <w:color w:val="000000" w:themeColor="text1"/>
        </w:rPr>
        <w:t>工一定片形的初级原料，简称产地片。</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w:t>
      </w:r>
    </w:p>
    <w:p>
      <w:pPr>
        <w:wordWrap w:val="0"/>
        <w:spacing w:line="360" w:lineRule="auto"/>
        <w:rPr>
          <w:rFonts w:asciiTheme="minorEastAsia" w:hAnsiTheme="minorEastAsia"/>
          <w:color w:val="000000" w:themeColor="text1"/>
        </w:rPr>
      </w:pPr>
      <w:r>
        <w:rPr>
          <w:rFonts w:hint="eastAsia" w:asciiTheme="minorEastAsia" w:hAnsiTheme="minorEastAsia"/>
          <w:color w:val="000000" w:themeColor="text1"/>
        </w:rPr>
        <w:t xml:space="preserve">    在当归商品流通中形成的不同交易品类，—个交易品类称为一个规格。</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等级</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在当归各规格下，用于区分当归品质级别的交易品种，一个交易品种称为一个等级。</w:t>
      </w:r>
    </w:p>
    <w:p>
      <w:pPr>
        <w:spacing w:line="360" w:lineRule="auto"/>
        <w:rPr>
          <w:rFonts w:ascii="黑体" w:hAnsi="黑体" w:eastAsia="黑体"/>
          <w:color w:val="000000" w:themeColor="text1"/>
        </w:rPr>
      </w:pPr>
      <w:r>
        <w:rPr>
          <w:rFonts w:hint="eastAsia" w:ascii="黑体" w:hAnsi="黑体" w:eastAsia="黑体"/>
          <w:color w:val="000000" w:themeColor="text1"/>
        </w:rPr>
        <w:t>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质量要求</w:t>
      </w:r>
    </w:p>
    <w:p>
      <w:pPr>
        <w:spacing w:line="360" w:lineRule="auto"/>
        <w:rPr>
          <w:rFonts w:asciiTheme="minorEastAsia" w:hAnsiTheme="minorEastAsia"/>
        </w:rPr>
      </w:pPr>
      <w:r>
        <w:rPr>
          <w:rFonts w:hint="eastAsia" w:ascii="黑体" w:hAnsi="黑体" w:eastAsia="黑体"/>
          <w:color w:val="000000" w:themeColor="text1"/>
        </w:rPr>
        <w:t>4.1</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性状</w:t>
      </w:r>
      <w:r>
        <w:rPr>
          <w:rFonts w:hint="eastAsia" w:asciiTheme="minorEastAsia" w:hAnsiTheme="minorEastAsia"/>
          <w:color w:val="000000" w:themeColor="text1"/>
        </w:rPr>
        <w:t xml:space="preserve">  </w:t>
      </w:r>
      <w:r>
        <w:rPr>
          <w:rFonts w:hint="eastAsia" w:asciiTheme="minorEastAsia" w:hAnsiTheme="minorEastAsia"/>
        </w:rPr>
        <w:t>当归产地片性状见表1。</w:t>
      </w:r>
    </w:p>
    <w:p>
      <w:pPr>
        <w:spacing w:line="360" w:lineRule="auto"/>
        <w:rPr>
          <w:rFonts w:asciiTheme="minorEastAsia" w:hAnsiTheme="minorEastAsia" w:cstheme="minorEastAsia"/>
          <w:color w:val="000000" w:themeColor="text1"/>
        </w:rPr>
      </w:pPr>
    </w:p>
    <w:p>
      <w:pPr>
        <w:spacing w:line="360" w:lineRule="auto"/>
        <w:ind w:firstLine="2415" w:firstLineChars="1150"/>
        <w:rPr>
          <w:rFonts w:ascii="黑体" w:hAnsi="黑体" w:eastAsia="黑体"/>
          <w:color w:val="000000" w:themeColor="text1"/>
        </w:rPr>
      </w:pPr>
    </w:p>
    <w:p>
      <w:pPr>
        <w:spacing w:line="360" w:lineRule="auto"/>
        <w:ind w:firstLine="2415" w:firstLineChars="1150"/>
        <w:rPr>
          <w:rFonts w:ascii="黑体" w:hAnsi="黑体" w:eastAsia="黑体"/>
          <w:color w:val="000000" w:themeColor="text1"/>
        </w:rPr>
      </w:pPr>
    </w:p>
    <w:p>
      <w:pPr>
        <w:spacing w:line="360" w:lineRule="auto"/>
        <w:ind w:firstLine="2730" w:firstLineChars="1300"/>
        <w:rPr>
          <w:rFonts w:ascii="黑体" w:hAnsi="黑体" w:eastAsia="黑体"/>
          <w:color w:val="000000" w:themeColor="text1"/>
        </w:rPr>
      </w:pPr>
      <w:r>
        <w:rPr>
          <w:rFonts w:hint="eastAsia" w:ascii="黑体" w:hAnsi="黑体" w:eastAsia="黑体"/>
          <w:color w:val="000000" w:themeColor="text1"/>
        </w:rPr>
        <w:t xml:space="preserve">表1   </w:t>
      </w:r>
      <w:r>
        <w:rPr>
          <w:rFonts w:hint="eastAsia" w:ascii="黑体" w:hAnsi="黑体" w:eastAsia="黑体"/>
        </w:rPr>
        <w:t>当归产地片性状要求</w:t>
      </w:r>
    </w:p>
    <w:tbl>
      <w:tblPr>
        <w:tblStyle w:val="30"/>
        <w:tblW w:w="8813"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1118"/>
        <w:gridCol w:w="368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exact"/>
        </w:trPr>
        <w:tc>
          <w:tcPr>
            <w:tcW w:w="1596"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规格</w:t>
            </w:r>
          </w:p>
        </w:tc>
        <w:tc>
          <w:tcPr>
            <w:tcW w:w="1118" w:type="dxa"/>
            <w:vMerge w:val="restart"/>
            <w:vAlign w:val="center"/>
          </w:tcPr>
          <w:p>
            <w:pPr>
              <w:jc w:val="center"/>
              <w:rPr>
                <w:rFonts w:asciiTheme="minorEastAsia" w:hAnsiTheme="minorEastAsia"/>
                <w:color w:val="000000" w:themeColor="text1"/>
              </w:rPr>
            </w:pPr>
            <w:r>
              <w:rPr>
                <w:rFonts w:hint="eastAsia" w:asciiTheme="minorEastAsia" w:hAnsiTheme="minorEastAsia"/>
                <w:color w:val="000000" w:themeColor="text1"/>
              </w:rPr>
              <w:t>等级</w:t>
            </w:r>
          </w:p>
        </w:tc>
        <w:tc>
          <w:tcPr>
            <w:tcW w:w="6099" w:type="dxa"/>
            <w:gridSpan w:val="2"/>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exact"/>
        </w:trPr>
        <w:tc>
          <w:tcPr>
            <w:tcW w:w="1596" w:type="dxa"/>
            <w:vMerge w:val="continue"/>
            <w:tcBorders>
              <w:bottom w:val="nil"/>
            </w:tcBorders>
            <w:vAlign w:val="center"/>
          </w:tcPr>
          <w:p>
            <w:pPr>
              <w:spacing w:line="360" w:lineRule="auto"/>
              <w:ind w:left="24"/>
              <w:jc w:val="center"/>
              <w:rPr>
                <w:rFonts w:asciiTheme="minorEastAsia" w:hAnsiTheme="minorEastAsia"/>
                <w:color w:val="000000" w:themeColor="text1"/>
              </w:rPr>
            </w:pPr>
          </w:p>
        </w:tc>
        <w:tc>
          <w:tcPr>
            <w:tcW w:w="1118" w:type="dxa"/>
            <w:vMerge w:val="continue"/>
            <w:tcBorders>
              <w:bottom w:val="nil"/>
            </w:tcBorders>
            <w:vAlign w:val="center"/>
          </w:tcPr>
          <w:p>
            <w:pPr>
              <w:jc w:val="center"/>
              <w:rPr>
                <w:rFonts w:asciiTheme="minorEastAsia" w:hAnsiTheme="minorEastAsia"/>
                <w:color w:val="000000" w:themeColor="text1"/>
              </w:rPr>
            </w:pPr>
          </w:p>
        </w:tc>
        <w:tc>
          <w:tcPr>
            <w:tcW w:w="3689" w:type="dxa"/>
            <w:tcBorders>
              <w:bottom w:val="nil"/>
            </w:tcBorders>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性状描述</w:t>
            </w:r>
          </w:p>
        </w:tc>
        <w:tc>
          <w:tcPr>
            <w:tcW w:w="2410" w:type="dxa"/>
            <w:tcBorders>
              <w:bottom w:val="nil"/>
            </w:tcBorders>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trPr>
        <w:tc>
          <w:tcPr>
            <w:tcW w:w="1596" w:type="dxa"/>
            <w:vMerge w:val="restart"/>
            <w:vAlign w:val="center"/>
          </w:tcPr>
          <w:p>
            <w:pPr>
              <w:spacing w:line="360" w:lineRule="auto"/>
              <w:ind w:left="24"/>
              <w:jc w:val="center"/>
              <w:rPr>
                <w:rFonts w:asciiTheme="minorEastAsia" w:hAnsiTheme="minorEastAsia"/>
              </w:rPr>
            </w:pPr>
            <w:r>
              <w:rPr>
                <w:rFonts w:hint="eastAsia" w:asciiTheme="minorEastAsia" w:hAnsiTheme="minorEastAsia"/>
              </w:rPr>
              <w:t>当归圆片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选片</w:t>
            </w:r>
          </w:p>
        </w:tc>
        <w:tc>
          <w:tcPr>
            <w:tcW w:w="3689" w:type="dxa"/>
            <w:vMerge w:val="restart"/>
            <w:vAlign w:val="center"/>
          </w:tcPr>
          <w:p>
            <w:pPr>
              <w:rPr>
                <w:rFonts w:ascii="宋体" w:hAnsi="宋体"/>
              </w:rPr>
            </w:pPr>
            <w:r>
              <w:rPr>
                <w:rFonts w:hint="eastAsia" w:ascii="宋体" w:hAnsi="宋体"/>
              </w:rPr>
              <w:t>呈类圆形、椭圆形或不规则薄片。</w:t>
            </w:r>
            <w:r>
              <w:rPr>
                <w:rFonts w:hint="eastAsia"/>
              </w:rPr>
              <w:t>外</w:t>
            </w:r>
            <w:r>
              <w:rPr>
                <w:rFonts w:hint="eastAsia" w:ascii="宋体" w:hAnsi="宋体"/>
              </w:rPr>
              <w:t>表面浅棕色至棕褐色，具不规则的抽缩皱纹及横长的皮孔样突起。切面略显粗糙，有时具裂隙或抽缩皱纹；皮部黄白色，具多数棕色点状分泌腔，形成层环黄棕色，木质部色较淡。质较柔韧。有浓郁的香气，味甘、辛、微苦。</w:t>
            </w:r>
          </w:p>
          <w:p>
            <w:pPr>
              <w:rPr>
                <w:rFonts w:ascii="宋体" w:hAnsi="宋体"/>
              </w:rPr>
            </w:pPr>
            <w:r>
              <w:rPr>
                <w:rFonts w:hint="eastAsia" w:ascii="宋体" w:hAnsi="宋体" w:eastAsia="宋体" w:cs="宋体"/>
              </w:rPr>
              <w:t>无变茬片、无杂质、无碎片。</w:t>
            </w:r>
          </w:p>
        </w:tc>
        <w:tc>
          <w:tcPr>
            <w:tcW w:w="2410" w:type="dxa"/>
            <w:vAlign w:val="center"/>
          </w:tcPr>
          <w:p>
            <w:pPr>
              <w:jc w:val="center"/>
              <w:rPr>
                <w:rFonts w:hint="eastAsia" w:ascii="宋体" w:hAnsi="宋体" w:eastAsia="宋体" w:cs="宋体"/>
              </w:rPr>
            </w:pPr>
            <w:r>
              <w:rPr>
                <w:rFonts w:hint="eastAsia" w:ascii="宋体" w:hAnsi="宋体" w:eastAsia="宋体" w:cs="宋体"/>
              </w:rPr>
              <w:t>直径1.0</w:t>
            </w:r>
            <w:r>
              <w:rPr>
                <w:rFonts w:ascii="Times New Roman" w:hAnsi="Times New Roman" w:eastAsia="宋体" w:cs="Times New Roman"/>
              </w:rPr>
              <w:t>cm</w:t>
            </w:r>
            <w:r>
              <w:rPr>
                <w:rFonts w:hint="eastAsia" w:ascii="宋体" w:hAnsi="宋体" w:eastAsia="宋体" w:cs="宋体"/>
              </w:rPr>
              <w:t>以上，</w:t>
            </w:r>
          </w:p>
          <w:p>
            <w:pPr>
              <w:jc w:val="center"/>
              <w:rPr>
                <w:rFonts w:ascii="宋体" w:hAnsi="宋体" w:eastAsia="宋体" w:cs="宋体"/>
              </w:rPr>
            </w:pP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9" w:hRule="atLeast"/>
        </w:trPr>
        <w:tc>
          <w:tcPr>
            <w:tcW w:w="1596" w:type="dxa"/>
            <w:vMerge w:val="continue"/>
            <w:vAlign w:val="center"/>
          </w:tcPr>
          <w:p>
            <w:pPr>
              <w:spacing w:line="360" w:lineRule="auto"/>
              <w:ind w:left="24"/>
              <w:jc w:val="center"/>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统片</w:t>
            </w:r>
          </w:p>
        </w:tc>
        <w:tc>
          <w:tcPr>
            <w:tcW w:w="3689" w:type="dxa"/>
            <w:vMerge w:val="continue"/>
            <w:vAlign w:val="center"/>
          </w:tcPr>
          <w:p>
            <w:pPr>
              <w:rPr>
                <w:rFonts w:ascii="宋体" w:hAnsi="宋体"/>
              </w:rPr>
            </w:pPr>
          </w:p>
        </w:tc>
        <w:tc>
          <w:tcPr>
            <w:tcW w:w="2410" w:type="dxa"/>
            <w:vAlign w:val="center"/>
          </w:tcPr>
          <w:p>
            <w:pPr>
              <w:jc w:val="center"/>
              <w:rPr>
                <w:rFonts w:hint="eastAsia" w:ascii="宋体" w:hAnsi="宋体" w:eastAsia="宋体" w:cs="宋体"/>
              </w:rPr>
            </w:pPr>
            <w:r>
              <w:rPr>
                <w:rFonts w:hint="eastAsia" w:ascii="宋体" w:hAnsi="宋体" w:eastAsia="宋体" w:cs="宋体"/>
              </w:rPr>
              <w:t>直径1.0</w:t>
            </w:r>
            <w:r>
              <w:rPr>
                <w:rFonts w:ascii="Times New Roman" w:hAnsi="Times New Roman" w:eastAsia="宋体" w:cs="Times New Roman"/>
              </w:rPr>
              <w:t>cm</w:t>
            </w:r>
            <w:r>
              <w:rPr>
                <w:rFonts w:hint="eastAsia" w:ascii="宋体" w:hAnsi="宋体" w:eastAsia="宋体" w:cs="宋体"/>
              </w:rPr>
              <w:t>以下，</w:t>
            </w:r>
          </w:p>
          <w:p>
            <w:pPr>
              <w:jc w:val="center"/>
              <w:rPr>
                <w:rFonts w:ascii="宋体" w:hAnsi="宋体" w:eastAsia="宋体" w:cs="宋体"/>
              </w:rPr>
            </w:pP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1596" w:type="dxa"/>
            <w:vMerge w:val="restart"/>
            <w:vAlign w:val="center"/>
          </w:tcPr>
          <w:p>
            <w:pPr>
              <w:ind w:left="23"/>
              <w:jc w:val="center"/>
              <w:rPr>
                <w:rFonts w:asciiTheme="minorEastAsia" w:hAnsiTheme="minorEastAsia"/>
              </w:rPr>
            </w:pPr>
            <w:r>
              <w:rPr>
                <w:rFonts w:hint="eastAsia" w:asciiTheme="minorEastAsia" w:hAnsiTheme="minorEastAsia"/>
              </w:rPr>
              <w:t>当归全归片</w:t>
            </w:r>
          </w:p>
          <w:p>
            <w:pPr>
              <w:spacing w:line="360" w:lineRule="auto"/>
              <w:ind w:left="24"/>
              <w:jc w:val="center"/>
              <w:rPr>
                <w:rFonts w:asciiTheme="minorEastAsia" w:hAnsiTheme="minorEastAsia"/>
              </w:rPr>
            </w:pPr>
            <w:r>
              <w:rPr>
                <w:rFonts w:hint="eastAsia" w:asciiTheme="minorEastAsia" w:hAnsiTheme="minorEastAsia"/>
              </w:rPr>
              <w:t>(当归片)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特级片</w:t>
            </w:r>
          </w:p>
        </w:tc>
        <w:tc>
          <w:tcPr>
            <w:tcW w:w="3689" w:type="dxa"/>
            <w:vMerge w:val="restart"/>
            <w:vAlign w:val="center"/>
          </w:tcPr>
          <w:p>
            <w:r>
              <w:rPr>
                <w:rFonts w:hint="eastAsia" w:ascii="宋体" w:hAnsi="宋体"/>
              </w:rPr>
              <w:t>呈长条形、</w:t>
            </w:r>
            <w:r>
              <w:rPr>
                <w:rFonts w:hint="eastAsia"/>
              </w:rPr>
              <w:t>长卵形</w:t>
            </w:r>
            <w:r>
              <w:rPr>
                <w:rFonts w:hint="eastAsia" w:ascii="宋体" w:hAnsi="宋体"/>
              </w:rPr>
              <w:t>薄片，</w:t>
            </w:r>
            <w:r>
              <w:rPr>
                <w:rFonts w:hint="eastAsia"/>
              </w:rPr>
              <w:t>中、下部具</w:t>
            </w:r>
            <w:r>
              <w:rPr>
                <w:rFonts w:hint="eastAsia" w:ascii="宋体" w:hAnsi="宋体"/>
              </w:rPr>
              <w:t>1或数</w:t>
            </w:r>
            <w:r>
              <w:rPr>
                <w:rFonts w:hint="eastAsia"/>
              </w:rPr>
              <w:t>条形分枝</w:t>
            </w:r>
            <w:r>
              <w:rPr>
                <w:rFonts w:hint="eastAsia" w:ascii="宋体" w:hAnsi="宋体"/>
              </w:rPr>
              <w:t>。</w:t>
            </w:r>
            <w:r>
              <w:rPr>
                <w:rFonts w:hint="eastAsia"/>
              </w:rPr>
              <w:t>常断裂成归头片和归尾片。</w:t>
            </w:r>
            <w:r>
              <w:rPr>
                <w:rFonts w:hint="eastAsia" w:asciiTheme="minorEastAsia" w:hAnsiTheme="minorEastAsia"/>
              </w:rPr>
              <w:t>有浓郁香气，味甘、辛、微苦。</w:t>
            </w:r>
          </w:p>
          <w:p>
            <w:pPr>
              <w:rPr>
                <w:rFonts w:asciiTheme="minorEastAsia" w:hAnsiTheme="minorEastAsia"/>
              </w:rPr>
            </w:pPr>
            <w:r>
              <w:rPr>
                <w:rFonts w:hint="eastAsia" w:ascii="宋体" w:hAnsi="宋体" w:eastAsia="宋体" w:cs="宋体"/>
              </w:rPr>
              <w:t>无变茬片，无杂质，无碎片。</w:t>
            </w:r>
          </w:p>
        </w:tc>
        <w:tc>
          <w:tcPr>
            <w:tcW w:w="2410" w:type="dxa"/>
            <w:vAlign w:val="center"/>
          </w:tcPr>
          <w:p>
            <w:pPr>
              <w:jc w:val="center"/>
            </w:pPr>
            <w:r>
              <w:rPr>
                <w:rFonts w:hint="eastAsia" w:ascii="宋体" w:hAnsi="宋体" w:eastAsia="宋体" w:cs="宋体"/>
              </w:rPr>
              <w:t>长</w:t>
            </w:r>
            <w:r>
              <w:rPr>
                <w:rFonts w:hint="eastAsia" w:ascii="宋体" w:hAnsi="宋体" w:eastAsia="宋体" w:cs="宋体"/>
                <w:lang w:val="en-US" w:eastAsia="zh-CN"/>
              </w:rPr>
              <w:t>5</w:t>
            </w:r>
            <w:r>
              <w:rPr>
                <w:rFonts w:hint="eastAsia" w:ascii="宋体" w:hAnsi="宋体" w:eastAsia="宋体" w:cs="宋体"/>
              </w:rPr>
              <w:t>～20</w:t>
            </w:r>
            <w:r>
              <w:rPr>
                <w:rFonts w:ascii="Times New Roman" w:hAnsi="Times New Roman" w:eastAsia="宋体" w:cs="Times New Roman"/>
              </w:rPr>
              <w:t>cm</w:t>
            </w:r>
            <w:r>
              <w:rPr>
                <w:rFonts w:hint="eastAsia" w:ascii="宋体" w:hAnsi="宋体" w:eastAsia="宋体" w:cs="宋体"/>
              </w:rPr>
              <w:t>，宽</w:t>
            </w:r>
            <w:r>
              <w:rPr>
                <w:rFonts w:hint="eastAsia" w:ascii="宋体" w:hAnsi="宋体" w:eastAsia="宋体" w:cs="宋体"/>
                <w:lang w:val="en-US" w:eastAsia="zh-CN"/>
              </w:rPr>
              <w:t>2</w:t>
            </w:r>
            <w:r>
              <w:rPr>
                <w:rFonts w:hint="eastAsia" w:ascii="宋体" w:hAnsi="宋体" w:eastAsia="宋体" w:cs="宋体"/>
              </w:rPr>
              <w:t>～4</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1596" w:type="dxa"/>
            <w:vMerge w:val="continue"/>
            <w:vAlign w:val="center"/>
          </w:tcPr>
          <w:p>
            <w:pPr>
              <w:spacing w:line="360" w:lineRule="auto"/>
              <w:ind w:left="24"/>
              <w:jc w:val="center"/>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一级片</w:t>
            </w:r>
          </w:p>
        </w:tc>
        <w:tc>
          <w:tcPr>
            <w:tcW w:w="3689" w:type="dxa"/>
            <w:vMerge w:val="continue"/>
            <w:vAlign w:val="center"/>
          </w:tcPr>
          <w:p>
            <w:pPr>
              <w:rPr>
                <w:rFonts w:asciiTheme="minorEastAsia" w:hAnsiTheme="minorEastAsia"/>
              </w:rPr>
            </w:pPr>
          </w:p>
        </w:tc>
        <w:tc>
          <w:tcPr>
            <w:tcW w:w="2410" w:type="dxa"/>
            <w:vAlign w:val="center"/>
          </w:tcPr>
          <w:p>
            <w:pPr>
              <w:jc w:val="center"/>
              <w:rPr>
                <w:rFonts w:ascii="宋体" w:hAnsi="宋体" w:eastAsia="宋体" w:cs="宋体"/>
              </w:rPr>
            </w:pPr>
            <w:r>
              <w:rPr>
                <w:rFonts w:hint="eastAsia" w:ascii="宋体" w:hAnsi="宋体" w:eastAsia="宋体" w:cs="宋体"/>
              </w:rPr>
              <w:t>长3～</w:t>
            </w:r>
            <w:r>
              <w:rPr>
                <w:rFonts w:hint="eastAsia" w:ascii="宋体" w:hAnsi="宋体" w:eastAsia="宋体" w:cs="宋体"/>
                <w:lang w:val="en-US" w:eastAsia="zh-CN"/>
              </w:rPr>
              <w:t>15</w:t>
            </w:r>
            <w:r>
              <w:rPr>
                <w:rFonts w:ascii="Times New Roman" w:hAnsi="Times New Roman" w:eastAsia="宋体" w:cs="Times New Roman"/>
              </w:rPr>
              <w:t>cm</w:t>
            </w:r>
            <w:r>
              <w:rPr>
                <w:rFonts w:hint="eastAsia" w:ascii="宋体" w:hAnsi="宋体" w:eastAsia="宋体" w:cs="宋体"/>
              </w:rPr>
              <w:t>，宽0.3～</w:t>
            </w:r>
            <w:r>
              <w:rPr>
                <w:rFonts w:hint="eastAsia" w:ascii="宋体" w:hAnsi="宋体" w:eastAsia="宋体" w:cs="宋体"/>
                <w:lang w:val="en-US" w:eastAsia="zh-CN"/>
              </w:rPr>
              <w:t>2</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Times New Roman" w:hAnsi="Times New Roman" w:eastAsia="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596" w:type="dxa"/>
            <w:vMerge w:val="restart"/>
            <w:vAlign w:val="center"/>
          </w:tcPr>
          <w:p>
            <w:pPr>
              <w:spacing w:line="360" w:lineRule="auto"/>
              <w:ind w:firstLine="210" w:firstLineChars="100"/>
              <w:rPr>
                <w:rFonts w:asciiTheme="minorEastAsia" w:hAnsiTheme="minorEastAsia"/>
              </w:rPr>
            </w:pPr>
            <w:r>
              <w:rPr>
                <w:rFonts w:hint="eastAsia" w:asciiTheme="minorEastAsia" w:hAnsiTheme="minorEastAsia"/>
              </w:rPr>
              <w:t>当归头片</w:t>
            </w:r>
          </w:p>
          <w:p>
            <w:pPr>
              <w:spacing w:line="360" w:lineRule="auto"/>
              <w:ind w:firstLine="210" w:firstLineChars="100"/>
              <w:rPr>
                <w:rFonts w:asciiTheme="minorEastAsia" w:hAnsiTheme="minorEastAsia"/>
              </w:rPr>
            </w:pPr>
            <w:r>
              <w:rPr>
                <w:rFonts w:hint="eastAsia" w:asciiTheme="minorEastAsia" w:hAnsiTheme="minorEastAsia"/>
              </w:rPr>
              <w:t>(归头片)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特级片</w:t>
            </w:r>
          </w:p>
        </w:tc>
        <w:tc>
          <w:tcPr>
            <w:tcW w:w="3689" w:type="dxa"/>
            <w:vMerge w:val="restart"/>
            <w:vAlign w:val="center"/>
          </w:tcPr>
          <w:p>
            <w:pPr>
              <w:rPr>
                <w:rFonts w:asciiTheme="minorEastAsia" w:hAnsiTheme="minorEastAsia"/>
              </w:rPr>
            </w:pPr>
            <w:r>
              <w:rPr>
                <w:rFonts w:hint="eastAsia"/>
              </w:rPr>
              <w:t>呈</w:t>
            </w:r>
            <w:r>
              <w:rPr>
                <w:rFonts w:hint="eastAsia" w:ascii="宋体" w:hAnsi="宋体"/>
              </w:rPr>
              <w:t>长卵形、</w:t>
            </w:r>
            <w:r>
              <w:rPr>
                <w:rFonts w:hint="eastAsia"/>
              </w:rPr>
              <w:t>宽卵形</w:t>
            </w:r>
            <w:r>
              <w:rPr>
                <w:rFonts w:hint="eastAsia" w:ascii="宋体" w:hAnsi="宋体"/>
              </w:rPr>
              <w:t>薄片</w:t>
            </w:r>
            <w:r>
              <w:rPr>
                <w:rFonts w:hint="eastAsia"/>
              </w:rPr>
              <w:t>，少有分枝。</w:t>
            </w:r>
            <w:r>
              <w:rPr>
                <w:rFonts w:hint="eastAsia" w:asciiTheme="minorEastAsia" w:hAnsiTheme="minorEastAsia"/>
              </w:rPr>
              <w:t>有浓郁香气，味甘、辛、微苦。</w:t>
            </w:r>
          </w:p>
          <w:p>
            <w:pPr>
              <w:rPr>
                <w:rFonts w:ascii="黑体" w:hAnsi="黑体" w:eastAsia="黑体"/>
              </w:rPr>
            </w:pPr>
            <w:r>
              <w:rPr>
                <w:rFonts w:hint="eastAsia" w:ascii="宋体" w:hAnsi="宋体" w:eastAsia="宋体" w:cs="宋体"/>
              </w:rPr>
              <w:t>无变茬片、无杂质、无碎片。</w:t>
            </w:r>
          </w:p>
        </w:tc>
        <w:tc>
          <w:tcPr>
            <w:tcW w:w="2410" w:type="dxa"/>
            <w:vAlign w:val="center"/>
          </w:tcPr>
          <w:p>
            <w:pPr>
              <w:jc w:val="center"/>
              <w:rPr>
                <w:rFonts w:ascii="宋体" w:hAnsi="宋体" w:eastAsia="宋体" w:cs="宋体"/>
              </w:rPr>
            </w:pPr>
            <w:r>
              <w:rPr>
                <w:rFonts w:hint="eastAsia" w:ascii="宋体" w:hAnsi="宋体" w:eastAsia="宋体" w:cs="宋体"/>
              </w:rPr>
              <w:t>宽2.6</w:t>
            </w:r>
            <w:r>
              <w:rPr>
                <w:rFonts w:ascii="Times New Roman" w:hAnsi="Times New Roman" w:eastAsia="宋体" w:cs="Times New Roman"/>
              </w:rPr>
              <w:t>cm</w:t>
            </w:r>
            <w:r>
              <w:rPr>
                <w:rFonts w:hint="eastAsia" w:ascii="宋体" w:hAnsi="宋体" w:eastAsia="宋体" w:cs="宋体"/>
              </w:rPr>
              <w:t>以上，长3～10</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596" w:type="dxa"/>
            <w:vMerge w:val="continue"/>
            <w:vAlign w:val="center"/>
          </w:tcPr>
          <w:p>
            <w:pPr>
              <w:spacing w:line="360" w:lineRule="auto"/>
              <w:ind w:firstLine="210" w:firstLineChars="100"/>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一级片</w:t>
            </w:r>
          </w:p>
        </w:tc>
        <w:tc>
          <w:tcPr>
            <w:tcW w:w="3689" w:type="dxa"/>
            <w:vMerge w:val="continue"/>
            <w:vAlign w:val="center"/>
          </w:tcPr>
          <w:p/>
        </w:tc>
        <w:tc>
          <w:tcPr>
            <w:tcW w:w="2410" w:type="dxa"/>
            <w:vAlign w:val="center"/>
          </w:tcPr>
          <w:p>
            <w:pPr>
              <w:jc w:val="center"/>
              <w:rPr>
                <w:rFonts w:ascii="宋体" w:hAnsi="宋体" w:eastAsia="宋体" w:cs="宋体"/>
              </w:rPr>
            </w:pPr>
            <w:r>
              <w:rPr>
                <w:rFonts w:hint="eastAsia" w:ascii="宋体" w:hAnsi="宋体" w:eastAsia="宋体" w:cs="宋体"/>
              </w:rPr>
              <w:t>宽1.7～2.2</w:t>
            </w:r>
            <w:r>
              <w:rPr>
                <w:rFonts w:ascii="Times New Roman" w:hAnsi="Times New Roman" w:eastAsia="宋体" w:cs="Times New Roman"/>
              </w:rPr>
              <w:t>cm</w:t>
            </w:r>
            <w:r>
              <w:rPr>
                <w:rFonts w:hint="eastAsia" w:ascii="宋体" w:hAnsi="宋体" w:eastAsia="宋体" w:cs="宋体"/>
              </w:rPr>
              <w:t>，长3～10</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596" w:type="dxa"/>
            <w:vMerge w:val="continue"/>
            <w:vAlign w:val="center"/>
          </w:tcPr>
          <w:p>
            <w:pPr>
              <w:spacing w:line="360" w:lineRule="auto"/>
              <w:ind w:firstLine="210" w:firstLineChars="100"/>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二级片</w:t>
            </w:r>
          </w:p>
        </w:tc>
        <w:tc>
          <w:tcPr>
            <w:tcW w:w="3689" w:type="dxa"/>
            <w:vMerge w:val="continue"/>
            <w:vAlign w:val="center"/>
          </w:tcPr>
          <w:p/>
        </w:tc>
        <w:tc>
          <w:tcPr>
            <w:tcW w:w="2410" w:type="dxa"/>
            <w:vAlign w:val="center"/>
          </w:tcPr>
          <w:p>
            <w:pPr>
              <w:jc w:val="center"/>
              <w:rPr>
                <w:rFonts w:ascii="宋体" w:hAnsi="宋体" w:eastAsia="宋体" w:cs="宋体"/>
              </w:rPr>
            </w:pPr>
            <w:r>
              <w:rPr>
                <w:rFonts w:hint="eastAsia" w:ascii="宋体" w:hAnsi="宋体" w:eastAsia="宋体" w:cs="宋体"/>
              </w:rPr>
              <w:t>宽1.0～1.7</w:t>
            </w:r>
            <w:r>
              <w:rPr>
                <w:rFonts w:ascii="Times New Roman" w:hAnsi="Times New Roman" w:eastAsia="宋体" w:cs="Times New Roman"/>
              </w:rPr>
              <w:t>cm</w:t>
            </w:r>
            <w:r>
              <w:rPr>
                <w:rFonts w:hint="eastAsia" w:ascii="宋体" w:hAnsi="宋体" w:eastAsia="宋体" w:cs="宋体"/>
              </w:rPr>
              <w:t>，长3～10</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1596" w:type="dxa"/>
            <w:vMerge w:val="restart"/>
            <w:vAlign w:val="center"/>
          </w:tcPr>
          <w:p>
            <w:pPr>
              <w:spacing w:line="360" w:lineRule="auto"/>
              <w:jc w:val="center"/>
              <w:rPr>
                <w:rFonts w:asciiTheme="minorEastAsia" w:hAnsiTheme="minorEastAsia"/>
              </w:rPr>
            </w:pPr>
            <w:r>
              <w:rPr>
                <w:rFonts w:hint="eastAsia" w:asciiTheme="minorEastAsia" w:hAnsiTheme="minorEastAsia"/>
              </w:rPr>
              <w:t>当归尾片</w:t>
            </w:r>
          </w:p>
          <w:p>
            <w:pPr>
              <w:spacing w:line="360" w:lineRule="auto"/>
              <w:jc w:val="center"/>
              <w:rPr>
                <w:rFonts w:asciiTheme="minorEastAsia" w:hAnsiTheme="minorEastAsia"/>
              </w:rPr>
            </w:pPr>
            <w:r>
              <w:rPr>
                <w:rFonts w:hint="eastAsia" w:asciiTheme="minorEastAsia" w:hAnsiTheme="minorEastAsia"/>
              </w:rPr>
              <w:t>(当归股子片</w:t>
            </w:r>
          </w:p>
          <w:p>
            <w:pPr>
              <w:spacing w:line="360" w:lineRule="auto"/>
              <w:jc w:val="center"/>
              <w:rPr>
                <w:rFonts w:asciiTheme="minorEastAsia" w:hAnsiTheme="minorEastAsia"/>
              </w:rPr>
            </w:pPr>
            <w:r>
              <w:rPr>
                <w:rFonts w:hint="eastAsia" w:asciiTheme="minorEastAsia" w:hAnsiTheme="minorEastAsia"/>
              </w:rPr>
              <w:t>归尾片)</w:t>
            </w: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选片</w:t>
            </w:r>
          </w:p>
        </w:tc>
        <w:tc>
          <w:tcPr>
            <w:tcW w:w="3689" w:type="dxa"/>
            <w:vMerge w:val="restart"/>
            <w:vAlign w:val="center"/>
          </w:tcPr>
          <w:p>
            <w:pPr>
              <w:rPr>
                <w:rFonts w:asciiTheme="minorEastAsia" w:hAnsiTheme="minorEastAsia"/>
              </w:rPr>
            </w:pPr>
            <w:r>
              <w:rPr>
                <w:rFonts w:hint="eastAsia"/>
              </w:rPr>
              <w:t>呈长条形，多弯曲，少数有分枝。</w:t>
            </w:r>
            <w:r>
              <w:rPr>
                <w:rFonts w:hint="eastAsia" w:asciiTheme="minorEastAsia" w:hAnsiTheme="minorEastAsia"/>
              </w:rPr>
              <w:t>有浓郁香气，味甘、辛、微苦。</w:t>
            </w:r>
          </w:p>
          <w:p>
            <w:pPr>
              <w:rPr>
                <w:rFonts w:asciiTheme="minorEastAsia" w:hAnsiTheme="minorEastAsia"/>
              </w:rPr>
            </w:pPr>
            <w:r>
              <w:rPr>
                <w:rFonts w:hint="eastAsia" w:ascii="宋体" w:hAnsi="宋体" w:eastAsia="宋体" w:cs="宋体"/>
              </w:rPr>
              <w:t>无变茬片、无碎片、无杂质。</w:t>
            </w:r>
          </w:p>
        </w:tc>
        <w:tc>
          <w:tcPr>
            <w:tcW w:w="2410" w:type="dxa"/>
            <w:vAlign w:val="center"/>
          </w:tcPr>
          <w:p>
            <w:pPr>
              <w:jc w:val="center"/>
              <w:rPr>
                <w:rFonts w:ascii="宋体" w:hAnsi="宋体" w:eastAsia="宋体" w:cs="宋体"/>
              </w:rPr>
            </w:pPr>
            <w:r>
              <w:rPr>
                <w:rFonts w:hint="eastAsia" w:ascii="宋体" w:hAnsi="宋体" w:eastAsia="宋体" w:cs="宋体"/>
              </w:rPr>
              <w:t>长1～10</w:t>
            </w:r>
            <w:r>
              <w:rPr>
                <w:rFonts w:ascii="Times New Roman" w:hAnsi="Times New Roman" w:eastAsia="宋体" w:cs="Times New Roman"/>
              </w:rPr>
              <w:t>cm</w:t>
            </w:r>
            <w:r>
              <w:rPr>
                <w:rFonts w:hint="eastAsia" w:ascii="宋体" w:hAnsi="宋体" w:eastAsia="宋体" w:cs="宋体"/>
              </w:rPr>
              <w:t>，宽0.2～0.8</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1596" w:type="dxa"/>
            <w:vMerge w:val="continue"/>
            <w:vAlign w:val="center"/>
          </w:tcPr>
          <w:p>
            <w:pPr>
              <w:spacing w:line="360" w:lineRule="auto"/>
              <w:jc w:val="center"/>
              <w:rPr>
                <w:rFonts w:asciiTheme="minorEastAsia" w:hAnsiTheme="minorEastAsia"/>
              </w:rPr>
            </w:pPr>
          </w:p>
        </w:tc>
        <w:tc>
          <w:tcPr>
            <w:tcW w:w="1118" w:type="dxa"/>
            <w:vAlign w:val="center"/>
          </w:tcPr>
          <w:p>
            <w:pPr>
              <w:spacing w:line="360" w:lineRule="auto"/>
              <w:jc w:val="center"/>
              <w:rPr>
                <w:rFonts w:asciiTheme="minorEastAsia" w:hAnsiTheme="minorEastAsia"/>
              </w:rPr>
            </w:pPr>
            <w:r>
              <w:rPr>
                <w:rFonts w:hint="eastAsia" w:asciiTheme="minorEastAsia" w:hAnsiTheme="minorEastAsia"/>
              </w:rPr>
              <w:t>统片</w:t>
            </w:r>
          </w:p>
        </w:tc>
        <w:tc>
          <w:tcPr>
            <w:tcW w:w="3689" w:type="dxa"/>
            <w:vMerge w:val="continue"/>
            <w:vAlign w:val="center"/>
          </w:tcPr>
          <w:p/>
        </w:tc>
        <w:tc>
          <w:tcPr>
            <w:tcW w:w="2410" w:type="dxa"/>
            <w:vAlign w:val="center"/>
          </w:tcPr>
          <w:p>
            <w:pPr>
              <w:jc w:val="center"/>
              <w:rPr>
                <w:rFonts w:ascii="宋体" w:hAnsi="宋体" w:eastAsia="宋体" w:cs="宋体"/>
              </w:rPr>
            </w:pPr>
            <w:r>
              <w:rPr>
                <w:rFonts w:hint="eastAsia" w:ascii="宋体" w:hAnsi="宋体" w:eastAsia="宋体" w:cs="宋体"/>
              </w:rPr>
              <w:t>长1～10</w:t>
            </w:r>
            <w:r>
              <w:rPr>
                <w:rFonts w:ascii="Times New Roman" w:hAnsi="Times New Roman" w:eastAsia="宋体" w:cs="Times New Roman"/>
              </w:rPr>
              <w:t>cm</w:t>
            </w:r>
            <w:r>
              <w:rPr>
                <w:rFonts w:hint="eastAsia" w:ascii="宋体" w:hAnsi="宋体" w:eastAsia="宋体" w:cs="宋体"/>
              </w:rPr>
              <w:t xml:space="preserve">，宽0.2～0.8 </w:t>
            </w:r>
            <w:r>
              <w:rPr>
                <w:rFonts w:ascii="Times New Roman" w:hAnsi="Times New Roman" w:eastAsia="宋体" w:cs="Times New Roman"/>
              </w:rPr>
              <w:t>cm</w:t>
            </w:r>
            <w:r>
              <w:rPr>
                <w:rFonts w:hint="eastAsia" w:ascii="宋体" w:hAnsi="宋体" w:eastAsia="宋体" w:cs="宋体"/>
              </w:rPr>
              <w:t>，厚1～2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trPr>
        <w:tc>
          <w:tcPr>
            <w:tcW w:w="1596" w:type="dxa"/>
            <w:vMerge w:val="restart"/>
            <w:vAlign w:val="center"/>
          </w:tcPr>
          <w:p>
            <w:pPr>
              <w:ind w:left="24"/>
              <w:jc w:val="center"/>
              <w:rPr>
                <w:rFonts w:asciiTheme="minorEastAsia" w:hAnsiTheme="minorEastAsia"/>
              </w:rPr>
            </w:pPr>
            <w:r>
              <w:rPr>
                <w:rFonts w:hint="eastAsia" w:asciiTheme="minorEastAsia" w:hAnsiTheme="minorEastAsia"/>
              </w:rPr>
              <w:t>当归佛手片</w:t>
            </w:r>
          </w:p>
          <w:p>
            <w:pPr>
              <w:ind w:left="24"/>
              <w:jc w:val="center"/>
              <w:rPr>
                <w:rFonts w:asciiTheme="minorEastAsia" w:hAnsiTheme="minorEastAsia"/>
              </w:rPr>
            </w:pPr>
          </w:p>
        </w:tc>
        <w:tc>
          <w:tcPr>
            <w:tcW w:w="1118" w:type="dxa"/>
            <w:vAlign w:val="center"/>
          </w:tcPr>
          <w:p>
            <w:pPr>
              <w:jc w:val="center"/>
              <w:rPr>
                <w:rFonts w:asciiTheme="minorEastAsia" w:hAnsiTheme="minorEastAsia"/>
              </w:rPr>
            </w:pPr>
            <w:r>
              <w:rPr>
                <w:rFonts w:hint="eastAsia" w:asciiTheme="minorEastAsia" w:hAnsiTheme="minorEastAsia"/>
              </w:rPr>
              <w:t>精选片</w:t>
            </w:r>
          </w:p>
        </w:tc>
        <w:tc>
          <w:tcPr>
            <w:tcW w:w="3689" w:type="dxa"/>
            <w:vAlign w:val="center"/>
          </w:tcPr>
          <w:p>
            <w:pPr>
              <w:rPr>
                <w:rFonts w:asciiTheme="minorEastAsia" w:hAnsiTheme="minorEastAsia"/>
              </w:rPr>
            </w:pPr>
            <w:r>
              <w:rPr>
                <w:rFonts w:hint="eastAsia" w:asciiTheme="minorEastAsia" w:hAnsiTheme="minorEastAsia"/>
              </w:rPr>
              <w:t>呈长卵形的不规则薄片，下部具2～8条分离或粘连的归尾。切面呈黄白色，平坦，有裂隙，中间有浅棕色的形成层环，并有多数棕色的油点。有浓郁香气，味甘、辛、微苦。</w:t>
            </w:r>
          </w:p>
          <w:p>
            <w:pPr>
              <w:rPr>
                <w:rFonts w:asciiTheme="minorEastAsia" w:hAnsiTheme="minorEastAsia"/>
              </w:rPr>
            </w:pPr>
            <w:r>
              <w:rPr>
                <w:rFonts w:hint="eastAsia" w:ascii="宋体" w:hAnsi="宋体" w:eastAsia="宋体" w:cs="宋体"/>
              </w:rPr>
              <w:t>片形完整、两面全白、无花皮，修头剪尾。</w:t>
            </w:r>
          </w:p>
        </w:tc>
        <w:tc>
          <w:tcPr>
            <w:tcW w:w="2410" w:type="dxa"/>
            <w:vAlign w:val="center"/>
          </w:tcPr>
          <w:p>
            <w:pPr>
              <w:jc w:val="center"/>
              <w:rPr>
                <w:rFonts w:ascii="宋体" w:hAnsi="宋体" w:eastAsia="宋体" w:cs="宋体"/>
              </w:rPr>
            </w:pPr>
            <w:r>
              <w:rPr>
                <w:rFonts w:hint="eastAsia" w:ascii="宋体" w:hAnsi="宋体" w:eastAsia="宋体" w:cs="宋体"/>
              </w:rPr>
              <w:t>长8～16</w:t>
            </w:r>
            <w:r>
              <w:rPr>
                <w:rFonts w:ascii="Times New Roman" w:hAnsi="Times New Roman" w:eastAsia="宋体" w:cs="Times New Roman"/>
              </w:rPr>
              <w:t>cm</w:t>
            </w:r>
            <w:r>
              <w:rPr>
                <w:rFonts w:hint="eastAsia" w:ascii="宋体" w:hAnsi="宋体" w:eastAsia="宋体" w:cs="宋体"/>
              </w:rPr>
              <w:t>，宽</w:t>
            </w:r>
            <w:r>
              <w:rPr>
                <w:rFonts w:hint="eastAsia" w:ascii="宋体" w:hAnsi="宋体" w:eastAsia="宋体" w:cs="宋体"/>
                <w:color w:val="FF0000"/>
              </w:rPr>
              <w:t>2.6</w:t>
            </w:r>
            <w:r>
              <w:rPr>
                <w:rFonts w:ascii="Times New Roman" w:hAnsi="Times New Roman" w:eastAsia="宋体" w:cs="Times New Roman"/>
              </w:rPr>
              <w:t>cm</w:t>
            </w:r>
            <w:r>
              <w:rPr>
                <w:rFonts w:hint="eastAsia" w:ascii="宋体" w:hAnsi="宋体" w:eastAsia="宋体" w:cs="宋体"/>
              </w:rPr>
              <w:t>以上，厚1～2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trPr>
        <w:tc>
          <w:tcPr>
            <w:tcW w:w="1596" w:type="dxa"/>
            <w:vMerge w:val="continue"/>
            <w:vAlign w:val="center"/>
          </w:tcPr>
          <w:p>
            <w:pPr>
              <w:ind w:left="24"/>
              <w:jc w:val="center"/>
              <w:rPr>
                <w:rFonts w:asciiTheme="minorEastAsia" w:hAnsiTheme="minorEastAsia"/>
              </w:rPr>
            </w:pPr>
          </w:p>
        </w:tc>
        <w:tc>
          <w:tcPr>
            <w:tcW w:w="1118" w:type="dxa"/>
            <w:vAlign w:val="center"/>
          </w:tcPr>
          <w:p>
            <w:pPr>
              <w:jc w:val="center"/>
              <w:rPr>
                <w:rFonts w:asciiTheme="minorEastAsia" w:hAnsiTheme="minorEastAsia"/>
              </w:rPr>
            </w:pPr>
            <w:r>
              <w:rPr>
                <w:rFonts w:hint="eastAsia" w:asciiTheme="minorEastAsia" w:hAnsiTheme="minorEastAsia"/>
              </w:rPr>
              <w:t>选装片</w:t>
            </w:r>
          </w:p>
        </w:tc>
        <w:tc>
          <w:tcPr>
            <w:tcW w:w="3689" w:type="dxa"/>
            <w:vAlign w:val="center"/>
          </w:tcPr>
          <w:p>
            <w:pPr>
              <w:rPr>
                <w:rFonts w:asciiTheme="minorEastAsia" w:hAnsiTheme="minorEastAsia"/>
              </w:rPr>
            </w:pPr>
            <w:r>
              <w:rPr>
                <w:rFonts w:hint="eastAsia" w:asciiTheme="minorEastAsia" w:hAnsiTheme="minorEastAsia"/>
              </w:rPr>
              <w:t>切面呈黄白色，间有浅棕黄色。有浓郁香气，味甘、辛、微苦。</w:t>
            </w:r>
          </w:p>
          <w:p>
            <w:pPr>
              <w:rPr>
                <w:rFonts w:asciiTheme="minorEastAsia" w:hAnsiTheme="minorEastAsia"/>
              </w:rPr>
            </w:pPr>
            <w:r>
              <w:rPr>
                <w:rFonts w:hint="eastAsia" w:ascii="宋体" w:hAnsi="宋体" w:eastAsia="宋体" w:cs="宋体"/>
              </w:rPr>
              <w:t>片形完整、两面稍带花皮。</w:t>
            </w:r>
          </w:p>
        </w:tc>
        <w:tc>
          <w:tcPr>
            <w:tcW w:w="2410" w:type="dxa"/>
            <w:vAlign w:val="center"/>
          </w:tcPr>
          <w:p>
            <w:pPr>
              <w:jc w:val="center"/>
              <w:rPr>
                <w:rFonts w:ascii="宋体" w:hAnsi="宋体" w:eastAsia="宋体" w:cs="宋体"/>
              </w:rPr>
            </w:pPr>
            <w:r>
              <w:rPr>
                <w:rFonts w:hint="eastAsia" w:ascii="宋体" w:hAnsi="宋体" w:eastAsia="宋体" w:cs="宋体"/>
              </w:rPr>
              <w:t>长8～16</w:t>
            </w:r>
            <w:r>
              <w:rPr>
                <w:rFonts w:ascii="Times New Roman" w:hAnsi="Times New Roman" w:eastAsia="宋体" w:cs="Times New Roman"/>
              </w:rPr>
              <w:t>cm</w:t>
            </w:r>
            <w:r>
              <w:rPr>
                <w:rFonts w:hint="eastAsia" w:ascii="宋体" w:hAnsi="宋体" w:eastAsia="宋体" w:cs="宋体"/>
              </w:rPr>
              <w:t>、宽1.8</w:t>
            </w:r>
            <w:r>
              <w:rPr>
                <w:rFonts w:ascii="Times New Roman" w:hAnsi="Times New Roman" w:eastAsia="宋体" w:cs="Times New Roman"/>
              </w:rPr>
              <w:t>cm</w:t>
            </w:r>
            <w:r>
              <w:rPr>
                <w:rFonts w:hint="eastAsia" w:ascii="宋体" w:hAnsi="宋体" w:eastAsia="宋体" w:cs="宋体"/>
              </w:rPr>
              <w:t>以上、厚1.5～2</w:t>
            </w:r>
            <w:r>
              <w:rPr>
                <w:rFonts w:ascii="Times New Roman" w:hAnsi="Times New Roman" w:eastAsia="宋体" w:cs="Times New Roman"/>
              </w:rPr>
              <w:t>mm</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1596" w:type="dxa"/>
            <w:vMerge w:val="continue"/>
            <w:tcBorders>
              <w:bottom w:val="single" w:color="auto" w:sz="4" w:space="0"/>
            </w:tcBorders>
            <w:vAlign w:val="center"/>
          </w:tcPr>
          <w:p>
            <w:pPr>
              <w:ind w:left="24"/>
              <w:jc w:val="center"/>
              <w:rPr>
                <w:rFonts w:asciiTheme="minorEastAsia" w:hAnsiTheme="minorEastAsia"/>
              </w:rPr>
            </w:pPr>
          </w:p>
        </w:tc>
        <w:tc>
          <w:tcPr>
            <w:tcW w:w="1118" w:type="dxa"/>
            <w:vAlign w:val="center"/>
          </w:tcPr>
          <w:p>
            <w:pPr>
              <w:jc w:val="center"/>
              <w:rPr>
                <w:rFonts w:asciiTheme="minorEastAsia" w:hAnsiTheme="minorEastAsia"/>
              </w:rPr>
            </w:pPr>
            <w:r>
              <w:rPr>
                <w:rFonts w:hint="eastAsia" w:asciiTheme="minorEastAsia" w:hAnsiTheme="minorEastAsia"/>
              </w:rPr>
              <w:t>统装片</w:t>
            </w:r>
          </w:p>
        </w:tc>
        <w:tc>
          <w:tcPr>
            <w:tcW w:w="3689" w:type="dxa"/>
            <w:tcBorders>
              <w:bottom w:val="single" w:color="auto" w:sz="4" w:space="0"/>
            </w:tcBorders>
            <w:vAlign w:val="center"/>
          </w:tcPr>
          <w:p>
            <w:pPr>
              <w:rPr>
                <w:rFonts w:asciiTheme="minorEastAsia" w:hAnsiTheme="minorEastAsia"/>
              </w:rPr>
            </w:pPr>
            <w:r>
              <w:rPr>
                <w:rFonts w:hint="eastAsia" w:asciiTheme="minorEastAsia" w:hAnsiTheme="minorEastAsia"/>
              </w:rPr>
              <w:t>切面呈有黄白色，多有浅棕黄色。有浓郁香气，味甘、辛、微苦。</w:t>
            </w:r>
          </w:p>
          <w:p>
            <w:pPr>
              <w:rPr>
                <w:rFonts w:asciiTheme="minorEastAsia" w:hAnsiTheme="minorEastAsia"/>
              </w:rPr>
            </w:pPr>
            <w:r>
              <w:rPr>
                <w:rFonts w:hint="eastAsia" w:ascii="宋体" w:hAnsi="宋体" w:eastAsia="宋体" w:cs="宋体"/>
              </w:rPr>
              <w:t>片形完整。</w:t>
            </w:r>
          </w:p>
        </w:tc>
        <w:tc>
          <w:tcPr>
            <w:tcW w:w="2410" w:type="dxa"/>
            <w:tcBorders>
              <w:bottom w:val="single" w:color="auto" w:sz="4" w:space="0"/>
            </w:tcBorders>
            <w:vAlign w:val="center"/>
          </w:tcPr>
          <w:p>
            <w:pPr>
              <w:jc w:val="center"/>
              <w:rPr>
                <w:rFonts w:ascii="宋体" w:hAnsi="宋体" w:eastAsia="宋体" w:cs="宋体"/>
              </w:rPr>
            </w:pPr>
            <w:r>
              <w:rPr>
                <w:rFonts w:hint="eastAsia" w:ascii="宋体" w:hAnsi="宋体" w:eastAsia="宋体" w:cs="宋体"/>
              </w:rPr>
              <w:t>长8～16</w:t>
            </w:r>
            <w:r>
              <w:rPr>
                <w:rFonts w:ascii="Times New Roman" w:hAnsi="Times New Roman" w:eastAsia="宋体" w:cs="Times New Roman"/>
              </w:rPr>
              <w:t>cm</w:t>
            </w:r>
            <w:r>
              <w:rPr>
                <w:rFonts w:hint="eastAsia" w:ascii="宋体" w:hAnsi="宋体" w:eastAsia="宋体" w:cs="宋体"/>
              </w:rPr>
              <w:t>、宽1.8</w:t>
            </w:r>
            <w:r>
              <w:rPr>
                <w:rFonts w:ascii="Times New Roman" w:hAnsi="Times New Roman" w:eastAsia="宋体" w:cs="Times New Roman"/>
              </w:rPr>
              <w:t>cm</w:t>
            </w:r>
            <w:r>
              <w:rPr>
                <w:rFonts w:hint="eastAsia" w:ascii="宋体" w:hAnsi="宋体" w:eastAsia="宋体" w:cs="宋体"/>
              </w:rPr>
              <w:t>以</w:t>
            </w:r>
            <w:r>
              <w:rPr>
                <w:rFonts w:hint="eastAsia" w:ascii="宋体" w:hAnsi="宋体" w:eastAsia="宋体" w:cs="宋体"/>
                <w:color w:val="FF0000"/>
              </w:rPr>
              <w:t>下</w:t>
            </w:r>
            <w:r>
              <w:rPr>
                <w:rFonts w:hint="eastAsia" w:ascii="宋体" w:hAnsi="宋体" w:eastAsia="宋体" w:cs="宋体"/>
              </w:rPr>
              <w:t>、厚1.5～2</w:t>
            </w:r>
            <w:r>
              <w:rPr>
                <w:rFonts w:ascii="Times New Roman" w:hAnsi="Times New Roman" w:eastAsia="宋体" w:cs="Times New Roman"/>
              </w:rPr>
              <w:t>mm</w:t>
            </w:r>
            <w:r>
              <w:rPr>
                <w:rFonts w:hint="eastAsia" w:ascii="宋体" w:hAnsi="宋体" w:eastAsia="宋体" w:cs="宋体"/>
              </w:rPr>
              <w:t>。</w:t>
            </w:r>
          </w:p>
        </w:tc>
      </w:tr>
    </w:tbl>
    <w:p>
      <w:pPr>
        <w:spacing w:line="360" w:lineRule="auto"/>
        <w:rPr>
          <w:rFonts w:ascii="黑体" w:hAnsi="黑体" w:eastAsia="黑体"/>
          <w:color w:val="000000" w:themeColor="text1"/>
        </w:rPr>
      </w:pP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4.2 鉴别</w:t>
      </w:r>
    </w:p>
    <w:p>
      <w:pPr>
        <w:spacing w:line="360" w:lineRule="auto"/>
        <w:rPr>
          <w:rFonts w:ascii="Times New Roman" w:hAnsi="Times New Roman" w:eastAsia="宋体" w:cs="Times New Roman"/>
          <w:color w:val="000000"/>
          <w:kern w:val="2"/>
        </w:rPr>
      </w:pPr>
      <w:r>
        <w:rPr>
          <w:rFonts w:hint="eastAsia" w:ascii="黑体" w:eastAsia="黑体"/>
          <w:color w:val="000000"/>
        </w:rPr>
        <w:t>4</w:t>
      </w:r>
      <w:r>
        <w:rPr>
          <w:rFonts w:hint="eastAsia" w:ascii="黑体" w:hAnsi="黑体" w:eastAsia="黑体" w:cs="黑体"/>
          <w:color w:val="000000" w:themeColor="text1"/>
        </w:rPr>
        <w:t>.2.1</w:t>
      </w:r>
      <w:r>
        <w:rPr>
          <w:rFonts w:hint="eastAsia" w:ascii="黑体" w:hAnsi="黑体" w:eastAsia="黑体" w:cs="黑体"/>
          <w:color w:val="000000" w:themeColor="text1"/>
          <w:lang w:val="en-US" w:eastAsia="zh-CN"/>
        </w:rPr>
        <w:t xml:space="preserve"> </w:t>
      </w:r>
      <w:r>
        <w:rPr>
          <w:rFonts w:hint="eastAsia" w:ascii="黑体" w:hAnsi="黑体" w:eastAsia="黑体" w:cs="黑体"/>
          <w:color w:val="000000" w:themeColor="text1"/>
        </w:rPr>
        <w:t xml:space="preserve">显微鉴别  </w:t>
      </w:r>
      <w:r>
        <w:rPr>
          <w:rFonts w:hint="eastAsia" w:ascii="Times New Roman" w:hAnsi="Times New Roman" w:eastAsia="宋体" w:cs="Times New Roman"/>
          <w:color w:val="000000"/>
          <w:kern w:val="2"/>
        </w:rPr>
        <w:t>粉末淡黄棕色。韧皮薄壁细胞纺锤形，壁略厚，表面有极微细的斜向交错纹理，有时可见菲薄的横隔。梯纹导管和网纹导管多见，直径约至</w:t>
      </w:r>
      <w:r>
        <w:rPr>
          <w:rFonts w:cs="Times New Roman" w:asciiTheme="minorEastAsia" w:hAnsiTheme="minorEastAsia"/>
          <w:color w:val="000000"/>
          <w:kern w:val="2"/>
        </w:rPr>
        <w:t>80</w:t>
      </w:r>
      <w:r>
        <w:rPr>
          <w:rFonts w:ascii="Times New Roman" w:hAnsi="Times New Roman" w:eastAsia="宋体" w:cs="Times New Roman"/>
          <w:color w:val="000000"/>
          <w:kern w:val="2"/>
        </w:rPr>
        <w:t>μm</w:t>
      </w:r>
      <w:r>
        <w:rPr>
          <w:rFonts w:hint="eastAsia" w:ascii="Times New Roman" w:hAnsi="Times New Roman" w:eastAsia="宋体" w:cs="Times New Roman"/>
          <w:color w:val="000000"/>
          <w:kern w:val="2"/>
        </w:rPr>
        <w:t>。有时可见油室碎片。</w:t>
      </w:r>
    </w:p>
    <w:p>
      <w:pPr>
        <w:spacing w:line="360" w:lineRule="auto"/>
        <w:rPr>
          <w:rFonts w:ascii="Times New Roman" w:hAnsi="Times New Roman" w:eastAsia="宋体" w:cs="Times New Roman"/>
          <w:color w:val="000000"/>
          <w:kern w:val="2"/>
        </w:rPr>
      </w:pPr>
      <w:r>
        <w:rPr>
          <w:rFonts w:hint="eastAsia" w:ascii="黑体" w:hAnsi="黑体" w:eastAsia="黑体" w:cs="Times New Roman"/>
          <w:color w:val="000000"/>
          <w:kern w:val="2"/>
        </w:rPr>
        <w:t>4.2.2</w:t>
      </w:r>
      <w:r>
        <w:rPr>
          <w:rFonts w:hint="eastAsia" w:ascii="黑体" w:hAnsi="黑体" w:eastAsia="黑体" w:cs="Times New Roman"/>
          <w:color w:val="000000"/>
          <w:kern w:val="2"/>
          <w:lang w:val="en-US" w:eastAsia="zh-CN"/>
        </w:rPr>
        <w:t xml:space="preserve"> </w:t>
      </w:r>
      <w:r>
        <w:rPr>
          <w:rFonts w:hint="eastAsia" w:ascii="黑体" w:hAnsi="黑体" w:eastAsia="黑体" w:cs="Times New Roman"/>
          <w:color w:val="000000"/>
          <w:kern w:val="2"/>
        </w:rPr>
        <w:t xml:space="preserve">薄层色谱鉴别 </w:t>
      </w:r>
      <w:r>
        <w:rPr>
          <w:rFonts w:hint="eastAsia" w:ascii="宋体" w:hAnsi="宋体" w:eastAsia="宋体" w:cs="Times New Roman"/>
          <w:color w:val="000000"/>
          <w:kern w:val="2"/>
        </w:rPr>
        <w:t>(1)</w:t>
      </w:r>
      <w:r>
        <w:rPr>
          <w:rFonts w:hint="eastAsia" w:ascii="Times New Roman" w:hAnsi="Times New Roman" w:eastAsia="宋体" w:cs="Times New Roman"/>
          <w:color w:val="000000"/>
          <w:kern w:val="2"/>
        </w:rPr>
        <w:t>取本品粉末</w:t>
      </w:r>
      <w:r>
        <w:rPr>
          <w:rFonts w:hint="eastAsia" w:cs="Times New Roman" w:asciiTheme="minorEastAsia" w:hAnsiTheme="minorEastAsia"/>
          <w:color w:val="000000"/>
          <w:kern w:val="2"/>
        </w:rPr>
        <w:t>0.5</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，加乙醚</w:t>
      </w:r>
      <w:r>
        <w:rPr>
          <w:rFonts w:ascii="Times New Roman" w:hAnsi="Times New Roman" w:eastAsia="宋体" w:cs="Times New Roman"/>
          <w:color w:val="000000"/>
          <w:kern w:val="2"/>
        </w:rPr>
        <w:t>20ml</w:t>
      </w:r>
      <w:r>
        <w:rPr>
          <w:rFonts w:hint="eastAsia" w:ascii="Times New Roman" w:hAnsi="Times New Roman" w:eastAsia="宋体" w:cs="Times New Roman"/>
          <w:color w:val="000000"/>
          <w:kern w:val="2"/>
        </w:rPr>
        <w:t>，超声处理</w:t>
      </w:r>
      <w:r>
        <w:rPr>
          <w:rFonts w:hint="eastAsia" w:cs="Times New Roman" w:asciiTheme="minorEastAsia" w:hAnsiTheme="minorEastAsia"/>
          <w:color w:val="000000"/>
          <w:kern w:val="2"/>
        </w:rPr>
        <w:t>10</w:t>
      </w:r>
      <w:r>
        <w:rPr>
          <w:rFonts w:hint="eastAsia" w:ascii="宋体" w:hAnsi="宋体" w:eastAsia="宋体" w:cs="Times New Roman"/>
          <w:color w:val="000000"/>
          <w:kern w:val="2"/>
        </w:rPr>
        <w:t>分</w:t>
      </w:r>
      <w:r>
        <w:rPr>
          <w:rFonts w:hint="eastAsia" w:ascii="Times New Roman" w:hAnsi="Times New Roman" w:eastAsia="宋体" w:cs="Times New Roman"/>
          <w:color w:val="000000"/>
          <w:kern w:val="2"/>
        </w:rPr>
        <w:t>钟，滤过，滤液蒸干，残渣加乙醇</w:t>
      </w:r>
      <w:r>
        <w:rPr>
          <w:rFonts w:ascii="Times New Roman" w:hAnsi="Times New Roman" w:eastAsia="宋体" w:cs="Times New Roman"/>
          <w:color w:val="000000"/>
          <w:kern w:val="2"/>
        </w:rPr>
        <w:t>1ml</w:t>
      </w:r>
      <w:r>
        <w:rPr>
          <w:rFonts w:hint="eastAsia" w:ascii="Times New Roman" w:hAnsi="Times New Roman" w:eastAsia="宋体" w:cs="Times New Roman"/>
          <w:color w:val="000000"/>
          <w:kern w:val="2"/>
        </w:rPr>
        <w:t>使溶解，作为供试品溶液。另取当归对照药</w:t>
      </w:r>
      <w:r>
        <w:rPr>
          <w:rFonts w:hint="eastAsia" w:ascii="宋体" w:hAnsi="宋体" w:eastAsia="宋体" w:cs="Times New Roman"/>
          <w:color w:val="000000"/>
          <w:kern w:val="2"/>
        </w:rPr>
        <w:t>材0.5</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，同法制成对照药材溶液。照薄层色谱法</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中国药典</w:t>
      </w:r>
      <w:r>
        <w:rPr>
          <w:rFonts w:hint="eastAsia" w:ascii="宋体" w:hAnsi="宋体" w:eastAsia="宋体" w:cs="Times New Roman"/>
          <w:color w:val="000000"/>
          <w:kern w:val="2"/>
        </w:rPr>
        <w:t>2015年版</w:t>
      </w:r>
      <w:r>
        <w:rPr>
          <w:rFonts w:hint="eastAsia" w:ascii="Times New Roman" w:hAnsi="Times New Roman" w:eastAsia="宋体" w:cs="Times New Roman"/>
          <w:color w:val="000000"/>
          <w:kern w:val="2"/>
        </w:rPr>
        <w:t>通</w:t>
      </w:r>
      <w:r>
        <w:rPr>
          <w:rFonts w:hint="eastAsia" w:ascii="宋体" w:hAnsi="宋体" w:eastAsia="宋体" w:cs="Times New Roman"/>
          <w:color w:val="000000"/>
          <w:kern w:val="2"/>
        </w:rPr>
        <w:t>则0502)</w:t>
      </w:r>
      <w:r>
        <w:rPr>
          <w:rFonts w:hint="eastAsia" w:ascii="Times New Roman" w:hAnsi="Times New Roman" w:eastAsia="宋体" w:cs="Times New Roman"/>
          <w:color w:val="000000"/>
          <w:kern w:val="2"/>
        </w:rPr>
        <w:t>试验，吸取上述两种溶液各</w:t>
      </w:r>
      <w:r>
        <w:rPr>
          <w:rFonts w:cs="Times New Roman" w:asciiTheme="minorEastAsia" w:hAnsiTheme="minorEastAsia"/>
          <w:color w:val="000000"/>
          <w:kern w:val="2"/>
        </w:rPr>
        <w:t>10</w:t>
      </w:r>
      <w:r>
        <w:rPr>
          <w:rFonts w:ascii="Times New Roman" w:hAnsi="Times New Roman" w:eastAsia="宋体" w:cs="Times New Roman"/>
          <w:color w:val="000000"/>
          <w:kern w:val="2"/>
        </w:rPr>
        <w:t>μl</w:t>
      </w:r>
      <w:r>
        <w:rPr>
          <w:rFonts w:hint="eastAsia" w:ascii="Times New Roman" w:hAnsi="Times New Roman" w:eastAsia="宋体" w:cs="Times New Roman"/>
          <w:color w:val="000000"/>
          <w:kern w:val="2"/>
        </w:rPr>
        <w:t>，分别点于同一硅胶</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薄层板上，以正己烷–乙酸乙酯</w:t>
      </w:r>
      <w:r>
        <w:rPr>
          <w:rFonts w:cs="Times New Roman" w:asciiTheme="minorEastAsia" w:hAnsiTheme="minorEastAsia"/>
          <w:color w:val="000000"/>
          <w:kern w:val="2"/>
        </w:rPr>
        <w:t>(4</w:t>
      </w:r>
      <w:r>
        <w:rPr>
          <w:rFonts w:hint="eastAsia" w:cs="Times New Roman" w:asciiTheme="minorEastAsia" w:hAnsiTheme="minorEastAsia"/>
          <w:color w:val="000000"/>
          <w:kern w:val="2"/>
        </w:rPr>
        <w:t>﹕</w:t>
      </w:r>
      <w:r>
        <w:rPr>
          <w:rFonts w:cs="Times New Roman" w:asciiTheme="minorEastAsia" w:hAnsiTheme="minorEastAsia"/>
          <w:color w:val="000000"/>
          <w:kern w:val="2"/>
        </w:rPr>
        <w:t>1)</w:t>
      </w:r>
      <w:r>
        <w:rPr>
          <w:rFonts w:hint="eastAsia" w:ascii="Times New Roman" w:hAnsi="Times New Roman" w:eastAsia="宋体" w:cs="Times New Roman"/>
          <w:color w:val="000000"/>
          <w:kern w:val="2"/>
        </w:rPr>
        <w:t>为展开剂，展开，取出，晾干，置紫外光</w:t>
      </w:r>
      <w:r>
        <w:rPr>
          <w:rFonts w:hint="eastAsia" w:ascii="宋体" w:hAnsi="宋体" w:eastAsia="宋体" w:cs="Times New Roman"/>
          <w:color w:val="000000"/>
          <w:kern w:val="2"/>
        </w:rPr>
        <w:t>灯(365</w:t>
      </w:r>
      <w:r>
        <w:rPr>
          <w:rFonts w:ascii="Times New Roman" w:hAnsi="Times New Roman" w:eastAsia="宋体" w:cs="Times New Roman"/>
          <w:color w:val="000000"/>
          <w:kern w:val="2"/>
        </w:rPr>
        <w:t>nm</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下检视。供试品色谱中，在与对照药材色谱相应的位置上，显相同颜色的荧光斑点。</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hint="eastAsia" w:ascii="宋体" w:hAnsi="宋体" w:eastAsia="宋体" w:cs="Times New Roman"/>
          <w:color w:val="000000"/>
          <w:kern w:val="2"/>
        </w:rPr>
        <w:t xml:space="preserve">  (2)</w:t>
      </w:r>
      <w:r>
        <w:rPr>
          <w:rFonts w:hint="eastAsia" w:ascii="Times New Roman" w:hAnsi="Times New Roman" w:eastAsia="宋体" w:cs="Times New Roman"/>
          <w:color w:val="000000"/>
          <w:kern w:val="2"/>
        </w:rPr>
        <w:t>取本品粉</w:t>
      </w:r>
      <w:r>
        <w:rPr>
          <w:rFonts w:hint="eastAsia" w:ascii="宋体" w:hAnsi="宋体" w:eastAsia="宋体" w:cs="Times New Roman"/>
          <w:color w:val="000000"/>
          <w:kern w:val="2"/>
        </w:rPr>
        <w:t>末</w:t>
      </w:r>
      <w:r>
        <w:rPr>
          <w:rFonts w:hint="eastAsia" w:cs="Times New Roman" w:asciiTheme="minorEastAsia" w:hAnsiTheme="minorEastAsia"/>
          <w:color w:val="000000"/>
          <w:kern w:val="2"/>
        </w:rPr>
        <w:t>3</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w:t>
      </w:r>
      <w:r>
        <w:rPr>
          <w:rFonts w:hint="eastAsia" w:cs="Times New Roman" w:asciiTheme="minorEastAsia" w:hAnsiTheme="minorEastAsia"/>
          <w:color w:val="000000"/>
          <w:kern w:val="2"/>
        </w:rPr>
        <w:t>加</w:t>
      </w:r>
      <w:r>
        <w:rPr>
          <w:rFonts w:cs="Times New Roman" w:asciiTheme="minorEastAsia" w:hAnsiTheme="minorEastAsia"/>
          <w:color w:val="000000"/>
          <w:kern w:val="2"/>
        </w:rPr>
        <w:t>1</w:t>
      </w:r>
      <w:r>
        <w:rPr>
          <w:rFonts w:ascii="Times New Roman" w:hAnsi="Times New Roman" w:eastAsia="宋体" w:cs="Times New Roman"/>
          <w:color w:val="000000"/>
          <w:kern w:val="2"/>
        </w:rPr>
        <w:t>%</w:t>
      </w:r>
      <w:r>
        <w:rPr>
          <w:rFonts w:hint="eastAsia" w:ascii="Times New Roman" w:hAnsi="Times New Roman" w:eastAsia="宋体" w:cs="Times New Roman"/>
          <w:color w:val="000000"/>
          <w:kern w:val="2"/>
        </w:rPr>
        <w:t>碳酸氢钠溶</w:t>
      </w:r>
      <w:r>
        <w:rPr>
          <w:rFonts w:hint="eastAsia" w:cs="Times New Roman" w:asciiTheme="minorEastAsia" w:hAnsiTheme="minorEastAsia"/>
          <w:color w:val="000000"/>
          <w:kern w:val="2"/>
        </w:rPr>
        <w:t>液</w:t>
      </w:r>
      <w:r>
        <w:rPr>
          <w:rFonts w:cs="Times New Roman" w:asciiTheme="minorEastAsia" w:hAnsiTheme="minorEastAsia"/>
          <w:color w:val="000000"/>
          <w:kern w:val="2"/>
        </w:rPr>
        <w:t>50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，超声处理</w:t>
      </w:r>
      <w:r>
        <w:rPr>
          <w:rFonts w:cs="Times New Roman" w:asciiTheme="minorEastAsia" w:hAnsiTheme="minorEastAsia"/>
          <w:color w:val="000000"/>
          <w:kern w:val="2"/>
        </w:rPr>
        <w:t>10</w:t>
      </w:r>
      <w:r>
        <w:rPr>
          <w:rFonts w:hint="eastAsia" w:ascii="Times New Roman" w:hAnsi="Times New Roman" w:eastAsia="宋体" w:cs="Times New Roman"/>
          <w:color w:val="000000"/>
          <w:kern w:val="2"/>
        </w:rPr>
        <w:t>分钟，离心，取上清液用稀盐酸调节</w:t>
      </w:r>
      <w:r>
        <w:rPr>
          <w:rFonts w:ascii="Times New Roman" w:hAnsi="Times New Roman" w:eastAsia="宋体" w:cs="Times New Roman"/>
          <w:color w:val="000000"/>
          <w:kern w:val="2"/>
        </w:rPr>
        <w:t>pH</w:t>
      </w:r>
      <w:r>
        <w:rPr>
          <w:rFonts w:hint="eastAsia" w:ascii="Times New Roman" w:hAnsi="Times New Roman" w:eastAsia="宋体" w:cs="Times New Roman"/>
          <w:color w:val="000000"/>
          <w:kern w:val="2"/>
        </w:rPr>
        <w:t>值至</w:t>
      </w:r>
      <w:r>
        <w:rPr>
          <w:rFonts w:hint="eastAsia" w:ascii="宋体" w:hAnsi="宋体" w:eastAsia="宋体" w:cs="Times New Roman"/>
          <w:color w:val="000000"/>
          <w:kern w:val="2"/>
        </w:rPr>
        <w:t>2～3，</w:t>
      </w:r>
      <w:r>
        <w:rPr>
          <w:rFonts w:hint="eastAsia" w:ascii="Times New Roman" w:hAnsi="Times New Roman" w:eastAsia="宋体" w:cs="Times New Roman"/>
          <w:color w:val="000000"/>
          <w:kern w:val="2"/>
        </w:rPr>
        <w:t>用乙醚振摇提取</w:t>
      </w:r>
      <w:r>
        <w:rPr>
          <w:rFonts w:hint="eastAsia" w:ascii="宋体" w:hAnsi="宋体" w:eastAsia="宋体" w:cs="Times New Roman"/>
          <w:color w:val="000000"/>
          <w:kern w:val="2"/>
        </w:rPr>
        <w:t>2</w:t>
      </w:r>
      <w:r>
        <w:rPr>
          <w:rFonts w:hint="eastAsia" w:ascii="Times New Roman" w:hAnsi="Times New Roman" w:eastAsia="宋体" w:cs="Times New Roman"/>
          <w:color w:val="000000"/>
          <w:kern w:val="2"/>
        </w:rPr>
        <w:t>次，每次</w:t>
      </w:r>
      <w:r>
        <w:rPr>
          <w:rFonts w:hint="eastAsia" w:cs="Times New Roman" w:asciiTheme="minorEastAsia" w:hAnsiTheme="minorEastAsia"/>
          <w:color w:val="000000"/>
          <w:kern w:val="2"/>
        </w:rPr>
        <w:t>20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，合并乙醚液，挥干，残渣加甲醇</w:t>
      </w:r>
      <w:r>
        <w:rPr>
          <w:rFonts w:cs="Times New Roman" w:asciiTheme="minorEastAsia" w:hAnsiTheme="minorEastAsia"/>
          <w:color w:val="000000"/>
          <w:kern w:val="2"/>
        </w:rPr>
        <w:t>1</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使溶解，作为供试品溶液。另取阿魏酸对照品、藁本内酯对照品，加甲醇制成每</w:t>
      </w:r>
      <w:r>
        <w:rPr>
          <w:rFonts w:ascii="Times New Roman" w:hAnsi="Times New Roman" w:eastAsia="宋体" w:cs="Times New Roman"/>
          <w:color w:val="000000"/>
          <w:kern w:val="2"/>
        </w:rPr>
        <w:t>1ml</w:t>
      </w:r>
      <w:r>
        <w:rPr>
          <w:rFonts w:hint="eastAsia" w:ascii="Times New Roman" w:hAnsi="Times New Roman" w:eastAsia="宋体" w:cs="Times New Roman"/>
          <w:color w:val="000000"/>
          <w:kern w:val="2"/>
        </w:rPr>
        <w:t>各含</w:t>
      </w:r>
      <w:r>
        <w:rPr>
          <w:rFonts w:hint="eastAsia" w:cs="Times New Roman" w:asciiTheme="minorEastAsia" w:hAnsiTheme="minorEastAsia"/>
          <w:color w:val="000000"/>
          <w:kern w:val="2"/>
        </w:rPr>
        <w:t>1</w:t>
      </w:r>
      <w:r>
        <w:rPr>
          <w:rFonts w:ascii="Times New Roman" w:hAnsi="Times New Roman" w:eastAsia="宋体" w:cs="Times New Roman"/>
          <w:color w:val="000000"/>
          <w:kern w:val="2"/>
        </w:rPr>
        <w:t>mg</w:t>
      </w:r>
      <w:r>
        <w:rPr>
          <w:rFonts w:hint="eastAsia" w:ascii="Times New Roman" w:hAnsi="Times New Roman" w:eastAsia="宋体" w:cs="Times New Roman"/>
          <w:color w:val="000000"/>
          <w:kern w:val="2"/>
        </w:rPr>
        <w:t>的溶液，作为对照品溶液。照薄层色谱法</w:t>
      </w:r>
      <w:r>
        <w:rPr>
          <w:rFonts w:hint="eastAsia" w:ascii="宋体" w:hAnsi="宋体" w:eastAsia="宋体" w:cs="Times New Roman"/>
          <w:color w:val="000000"/>
          <w:kern w:val="2"/>
        </w:rPr>
        <w:t>(</w:t>
      </w:r>
      <w:r>
        <w:rPr>
          <w:rFonts w:hint="eastAsia" w:ascii="Times New Roman" w:hAnsi="Times New Roman" w:eastAsia="宋体" w:cs="Times New Roman"/>
          <w:color w:val="000000"/>
          <w:kern w:val="2"/>
        </w:rPr>
        <w:t>中国药典</w:t>
      </w:r>
      <w:r>
        <w:rPr>
          <w:rFonts w:hint="eastAsia" w:ascii="宋体" w:hAnsi="宋体" w:eastAsia="宋体" w:cs="Times New Roman"/>
          <w:color w:val="000000"/>
          <w:kern w:val="2"/>
        </w:rPr>
        <w:t>2015年版</w:t>
      </w:r>
      <w:r>
        <w:rPr>
          <w:rFonts w:hint="eastAsia" w:ascii="Times New Roman" w:hAnsi="Times New Roman" w:eastAsia="宋体" w:cs="Times New Roman"/>
          <w:color w:val="000000"/>
          <w:kern w:val="2"/>
        </w:rPr>
        <w:t>通</w:t>
      </w:r>
      <w:r>
        <w:rPr>
          <w:rFonts w:hint="eastAsia" w:ascii="宋体" w:hAnsi="宋体" w:eastAsia="宋体" w:cs="Times New Roman"/>
          <w:color w:val="000000"/>
          <w:kern w:val="2"/>
        </w:rPr>
        <w:t>则0502)</w:t>
      </w:r>
      <w:r>
        <w:rPr>
          <w:rFonts w:hint="eastAsia" w:ascii="Times New Roman" w:hAnsi="Times New Roman" w:eastAsia="宋体" w:cs="Times New Roman"/>
          <w:color w:val="000000"/>
          <w:kern w:val="2"/>
        </w:rPr>
        <w:t>试验，吸取上述三种溶液</w:t>
      </w:r>
      <w:r>
        <w:rPr>
          <w:rFonts w:hint="eastAsia" w:cs="Times New Roman" w:asciiTheme="minorEastAsia" w:hAnsiTheme="minorEastAsia"/>
          <w:color w:val="000000"/>
          <w:kern w:val="2"/>
        </w:rPr>
        <w:t>各10</w:t>
      </w:r>
      <w:r>
        <w:rPr>
          <w:rFonts w:ascii="Times New Roman" w:hAnsi="Times New Roman" w:eastAsia="宋体" w:cs="Times New Roman"/>
          <w:color w:val="000000"/>
          <w:kern w:val="2"/>
        </w:rPr>
        <w:t>μl</w:t>
      </w:r>
      <w:r>
        <w:rPr>
          <w:rFonts w:hint="eastAsia" w:ascii="Times New Roman" w:hAnsi="Times New Roman" w:eastAsia="宋体" w:cs="Times New Roman"/>
          <w:color w:val="000000"/>
          <w:kern w:val="2"/>
        </w:rPr>
        <w:t>，分别点于同一硅胶</w:t>
      </w:r>
      <w:r>
        <w:rPr>
          <w:rFonts w:hint="eastAsia" w:ascii="宋体" w:hAnsi="宋体" w:eastAsia="宋体" w:cs="Times New Roman"/>
          <w:color w:val="000000"/>
          <w:kern w:val="2"/>
        </w:rPr>
        <w:t>G</w:t>
      </w:r>
      <w:r>
        <w:rPr>
          <w:rFonts w:hint="eastAsia" w:ascii="Times New Roman" w:hAnsi="Times New Roman" w:eastAsia="宋体" w:cs="Times New Roman"/>
          <w:color w:val="000000"/>
          <w:kern w:val="2"/>
        </w:rPr>
        <w:t>薄层板上，以环己烷</w:t>
      </w:r>
      <w:r>
        <w:rPr>
          <w:rFonts w:ascii="宋体" w:hAnsi="宋体" w:eastAsia="宋体" w:cs="Times New Roman"/>
          <w:color w:val="000000"/>
          <w:kern w:val="2"/>
        </w:rPr>
        <w:t>–</w:t>
      </w:r>
      <w:r>
        <w:rPr>
          <w:rFonts w:hint="eastAsia" w:ascii="Times New Roman" w:hAnsi="Times New Roman" w:eastAsia="宋体" w:cs="Times New Roman"/>
          <w:color w:val="000000"/>
          <w:kern w:val="2"/>
        </w:rPr>
        <w:t>二氯甲烷</w:t>
      </w:r>
      <w:r>
        <w:rPr>
          <w:rFonts w:ascii="宋体" w:hAnsi="宋体" w:eastAsia="宋体" w:cs="Times New Roman"/>
          <w:color w:val="000000"/>
          <w:kern w:val="2"/>
        </w:rPr>
        <w:t>–</w:t>
      </w:r>
      <w:r>
        <w:rPr>
          <w:rFonts w:hint="eastAsia" w:ascii="Times New Roman" w:hAnsi="Times New Roman" w:eastAsia="宋体" w:cs="Times New Roman"/>
          <w:color w:val="000000"/>
          <w:kern w:val="2"/>
        </w:rPr>
        <w:t>乙酸乙酯</w:t>
      </w:r>
      <w:r>
        <w:rPr>
          <w:rFonts w:ascii="宋体" w:hAnsi="宋体" w:eastAsia="宋体" w:cs="Times New Roman"/>
          <w:color w:val="000000"/>
          <w:kern w:val="2"/>
        </w:rPr>
        <w:t>–</w:t>
      </w:r>
      <w:r>
        <w:rPr>
          <w:rFonts w:hint="eastAsia" w:ascii="Times New Roman" w:hAnsi="Times New Roman" w:eastAsia="宋体" w:cs="Times New Roman"/>
          <w:color w:val="000000"/>
          <w:kern w:val="2"/>
        </w:rPr>
        <w:t>甲</w:t>
      </w:r>
      <w:r>
        <w:rPr>
          <w:rFonts w:hint="eastAsia" w:cs="Times New Roman" w:asciiTheme="minorEastAsia" w:hAnsiTheme="minorEastAsia"/>
          <w:color w:val="000000"/>
          <w:kern w:val="2"/>
        </w:rPr>
        <w:t>酸(4﹕1﹕1﹕0.1)</w:t>
      </w:r>
      <w:r>
        <w:rPr>
          <w:rFonts w:hint="eastAsia" w:ascii="宋体" w:hAnsi="宋体" w:eastAsia="宋体" w:cs="Times New Roman"/>
          <w:color w:val="000000"/>
          <w:kern w:val="2"/>
        </w:rPr>
        <w:t>为</w:t>
      </w:r>
      <w:r>
        <w:rPr>
          <w:rFonts w:hint="eastAsia" w:ascii="Times New Roman" w:hAnsi="Times New Roman" w:eastAsia="宋体" w:cs="Times New Roman"/>
          <w:color w:val="000000"/>
          <w:kern w:val="2"/>
        </w:rPr>
        <w:t>展开剂，展开，取出，晾干，置紫外光灯</w:t>
      </w:r>
      <w:r>
        <w:rPr>
          <w:rFonts w:hint="eastAsia" w:ascii="宋体" w:hAnsi="宋体" w:eastAsia="宋体" w:cs="Times New Roman"/>
          <w:color w:val="000000"/>
          <w:kern w:val="2"/>
        </w:rPr>
        <w:t>(365</w:t>
      </w:r>
      <w:r>
        <w:rPr>
          <w:rFonts w:ascii="Times New Roman" w:hAnsi="Times New Roman" w:eastAsia="宋体" w:cs="Times New Roman"/>
          <w:color w:val="000000"/>
          <w:kern w:val="2"/>
        </w:rPr>
        <w:t>nm)</w:t>
      </w:r>
      <w:r>
        <w:rPr>
          <w:rFonts w:hint="eastAsia" w:ascii="Times New Roman" w:hAnsi="Times New Roman" w:eastAsia="宋体" w:cs="Times New Roman"/>
          <w:color w:val="000000"/>
          <w:kern w:val="2"/>
        </w:rPr>
        <w:t>下检视。供试品色谱中，在与对照品色谱相应的位置上，显相同颜色的荧光斑点。</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4.3 检查</w:t>
      </w:r>
    </w:p>
    <w:p>
      <w:pPr>
        <w:spacing w:line="360" w:lineRule="auto"/>
        <w:rPr>
          <w:color w:val="000000"/>
        </w:rPr>
      </w:pPr>
      <w:r>
        <w:rPr>
          <w:rFonts w:hint="eastAsia" w:ascii="黑体" w:eastAsia="黑体"/>
          <w:color w:val="000000"/>
        </w:rPr>
        <w:t>4.3.1</w:t>
      </w:r>
      <w:r>
        <w:rPr>
          <w:rFonts w:hint="eastAsia" w:ascii="黑体" w:eastAsia="黑体"/>
          <w:color w:val="000000"/>
          <w:lang w:val="en-US" w:eastAsia="zh-CN"/>
        </w:rPr>
        <w:t xml:space="preserve"> </w:t>
      </w:r>
      <w:r>
        <w:rPr>
          <w:rFonts w:hint="eastAsia" w:ascii="黑体" w:eastAsia="黑体"/>
          <w:color w:val="000000"/>
        </w:rPr>
        <w:t>水分</w:t>
      </w:r>
      <w:r>
        <w:rPr>
          <w:rFonts w:hint="eastAsia"/>
          <w:color w:val="000000"/>
        </w:rPr>
        <w:t xml:space="preserve">  不得过</w:t>
      </w:r>
      <w:r>
        <w:rPr>
          <w:rFonts w:hint="eastAsia" w:ascii="宋体" w:hAnsi="宋体"/>
          <w:color w:val="000000"/>
        </w:rPr>
        <w:t>15.0</w:t>
      </w:r>
      <w:r>
        <w:rPr>
          <w:rFonts w:ascii="Times New Roman" w:hAnsi="Times New Roman" w:cs="Times New Roman"/>
          <w:color w:val="000000"/>
        </w:rPr>
        <w:t>％</w:t>
      </w:r>
      <w:r>
        <w:rPr>
          <w:rFonts w:hint="eastAsia" w:ascii="宋体" w:hAnsi="宋体"/>
          <w:color w:val="000000"/>
        </w:rPr>
        <w:t>(</w:t>
      </w:r>
      <w:r>
        <w:rPr>
          <w:rFonts w:hint="eastAsia" w:ascii="宋体" w:hAnsi="宋体"/>
        </w:rPr>
        <w:t>中国药典2015年版通则0832</w:t>
      </w:r>
      <w:r>
        <w:rPr>
          <w:rFonts w:hint="eastAsia" w:ascii="宋体" w:hAnsi="宋体"/>
          <w:color w:val="000000"/>
        </w:rPr>
        <w:t>第四法)</w:t>
      </w:r>
      <w:r>
        <w:rPr>
          <w:rFonts w:hint="eastAsia"/>
          <w:color w:val="000000"/>
        </w:rPr>
        <w:t>。</w:t>
      </w:r>
    </w:p>
    <w:p>
      <w:pPr>
        <w:spacing w:line="360" w:lineRule="auto"/>
        <w:rPr>
          <w:color w:val="000000"/>
        </w:rPr>
      </w:pPr>
      <w:r>
        <w:rPr>
          <w:rFonts w:hint="eastAsia" w:ascii="黑体" w:hAnsi="黑体" w:eastAsia="黑体"/>
          <w:color w:val="000000"/>
        </w:rPr>
        <w:t>4.3.2</w:t>
      </w:r>
      <w:r>
        <w:rPr>
          <w:rFonts w:hint="eastAsia" w:ascii="黑体" w:hAnsi="黑体" w:eastAsia="黑体"/>
          <w:color w:val="000000"/>
          <w:lang w:val="en-US" w:eastAsia="zh-CN"/>
        </w:rPr>
        <w:t xml:space="preserve"> </w:t>
      </w:r>
      <w:r>
        <w:rPr>
          <w:rFonts w:hint="eastAsia" w:ascii="黑体" w:hAnsi="黑体" w:eastAsia="黑体"/>
          <w:color w:val="000000"/>
        </w:rPr>
        <w:t xml:space="preserve">总灰分 </w:t>
      </w:r>
      <w:r>
        <w:rPr>
          <w:rFonts w:hint="eastAsia" w:ascii="黑体" w:eastAsia="黑体"/>
          <w:color w:val="000000"/>
        </w:rPr>
        <w:t xml:space="preserve"> </w:t>
      </w:r>
      <w:r>
        <w:rPr>
          <w:rFonts w:hint="eastAsia"/>
          <w:color w:val="000000"/>
        </w:rPr>
        <w:t>不得过</w:t>
      </w:r>
      <w:r>
        <w:rPr>
          <w:rFonts w:hint="eastAsia" w:ascii="宋体" w:hAnsi="宋体"/>
          <w:color w:val="000000"/>
        </w:rPr>
        <w:t>7.0</w:t>
      </w:r>
      <w:r>
        <w:rPr>
          <w:rFonts w:ascii="Times New Roman" w:hAnsi="Times New Roman" w:cs="Times New Roman"/>
          <w:color w:val="000000"/>
        </w:rPr>
        <w:t>％</w:t>
      </w:r>
      <w:r>
        <w:rPr>
          <w:rFonts w:hint="eastAsia" w:ascii="宋体" w:hAnsi="宋体"/>
          <w:color w:val="000000"/>
        </w:rPr>
        <w:t>(</w:t>
      </w:r>
      <w:r>
        <w:rPr>
          <w:rFonts w:hint="eastAsia" w:ascii="宋体" w:hAnsi="宋体"/>
        </w:rPr>
        <w:t>中国药典2015年版通则2302</w:t>
      </w:r>
      <w:r>
        <w:rPr>
          <w:rFonts w:hint="eastAsia" w:ascii="宋体" w:hAnsi="宋体"/>
          <w:color w:val="000000"/>
        </w:rPr>
        <w:t>)</w:t>
      </w:r>
      <w:r>
        <w:rPr>
          <w:rFonts w:hint="eastAsia"/>
          <w:color w:val="000000"/>
        </w:rPr>
        <w:t>。</w:t>
      </w:r>
    </w:p>
    <w:p>
      <w:pPr>
        <w:widowControl w:val="0"/>
        <w:spacing w:line="360" w:lineRule="auto"/>
        <w:rPr>
          <w:rFonts w:ascii="Times New Roman" w:hAnsi="Times New Roman" w:eastAsia="宋体" w:cs="Times New Roman"/>
          <w:color w:val="000000"/>
          <w:kern w:val="2"/>
        </w:rPr>
      </w:pPr>
      <w:r>
        <w:rPr>
          <w:rFonts w:hint="eastAsia" w:ascii="黑体" w:hAnsi="Times New Roman" w:eastAsia="黑体" w:cs="Times New Roman"/>
          <w:color w:val="000000"/>
          <w:kern w:val="2"/>
        </w:rPr>
        <w:t>4.3.3</w:t>
      </w:r>
      <w:r>
        <w:rPr>
          <w:rFonts w:hint="eastAsia" w:ascii="黑体" w:hAnsi="Times New Roman" w:eastAsia="黑体" w:cs="Times New Roman"/>
          <w:color w:val="000000"/>
          <w:kern w:val="2"/>
          <w:lang w:val="en-US" w:eastAsia="zh-CN"/>
        </w:rPr>
        <w:t xml:space="preserve"> </w:t>
      </w:r>
      <w:r>
        <w:rPr>
          <w:rFonts w:hint="eastAsia" w:ascii="黑体" w:hAnsi="Times New Roman" w:eastAsia="黑体" w:cs="Times New Roman"/>
          <w:color w:val="000000"/>
          <w:kern w:val="2"/>
        </w:rPr>
        <w:t>酸不溶性灰分</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不得过</w:t>
      </w:r>
      <w:r>
        <w:rPr>
          <w:rFonts w:hint="eastAsia" w:ascii="宋体" w:hAnsi="宋体" w:eastAsia="宋体" w:cs="Times New Roman"/>
          <w:color w:val="000000"/>
          <w:kern w:val="2"/>
        </w:rPr>
        <w:t>2.0</w:t>
      </w:r>
      <w:r>
        <w:rPr>
          <w:rFonts w:ascii="Times New Roman" w:hAnsi="Times New Roman" w:eastAsia="宋体" w:cs="Times New Roman"/>
          <w:color w:val="000000"/>
          <w:kern w:val="2"/>
        </w:rPr>
        <w:t>%</w:t>
      </w:r>
      <w:r>
        <w:rPr>
          <w:rFonts w:hint="eastAsia" w:ascii="宋体" w:hAnsi="宋体" w:eastAsia="宋体" w:cs="Times New Roman"/>
          <w:color w:val="000000"/>
          <w:kern w:val="2"/>
        </w:rPr>
        <w:t>(中国药典2015年版通则2302)</w:t>
      </w:r>
      <w:r>
        <w:rPr>
          <w:rFonts w:hint="eastAsia" w:ascii="Times New Roman" w:hAnsi="Times New Roman" w:eastAsia="宋体" w:cs="Times New Roman"/>
          <w:color w:val="000000"/>
          <w:kern w:val="2"/>
        </w:rPr>
        <w:t>。</w:t>
      </w:r>
    </w:p>
    <w:p>
      <w:pPr>
        <w:spacing w:line="360" w:lineRule="auto"/>
        <w:rPr>
          <w:rFonts w:asciiTheme="minorEastAsia" w:hAnsiTheme="minorEastAsia" w:cstheme="minorEastAsia"/>
          <w:color w:val="000000" w:themeColor="text1"/>
        </w:rPr>
      </w:pPr>
      <w:r>
        <w:rPr>
          <w:rFonts w:hint="eastAsia" w:ascii="黑体" w:hAnsi="黑体" w:eastAsia="黑体"/>
          <w:color w:val="000000"/>
        </w:rPr>
        <w:t>4.</w:t>
      </w:r>
      <w:r>
        <w:rPr>
          <w:rFonts w:hint="eastAsia" w:ascii="黑体" w:hAnsi="黑体" w:eastAsia="黑体" w:cstheme="minorEastAsia"/>
          <w:color w:val="000000" w:themeColor="text1"/>
        </w:rPr>
        <w:t xml:space="preserve">3.4 饮片等级窜等 </w:t>
      </w:r>
      <w:r>
        <w:rPr>
          <w:rFonts w:hint="eastAsia" w:asciiTheme="minorEastAsia" w:hAnsiTheme="minorEastAsia" w:cstheme="minorEastAsia"/>
          <w:color w:val="000000" w:themeColor="text1"/>
        </w:rPr>
        <w:t xml:space="preserve"> 饮片等级上下限窜等不得超过15</w:t>
      </w:r>
      <w:r>
        <w:rPr>
          <w:rFonts w:ascii="Times New Roman" w:hAnsi="Times New Roman" w:cs="Times New Roman"/>
          <w:color w:val="000000" w:themeColor="text1"/>
        </w:rPr>
        <w:t>%</w:t>
      </w:r>
      <w:r>
        <w:rPr>
          <w:rFonts w:hint="eastAsia" w:asciiTheme="minorEastAsia" w:hAnsiTheme="minorEastAsia" w:cstheme="minorEastAsia"/>
          <w:color w:val="000000" w:themeColor="text1"/>
        </w:rPr>
        <w:t>。宽度介于两个等级之间的片形、光滑度好的归上一等级。</w:t>
      </w:r>
    </w:p>
    <w:p>
      <w:pPr>
        <w:spacing w:line="360" w:lineRule="auto"/>
        <w:rPr>
          <w:rFonts w:asciiTheme="minorEastAsia" w:hAnsiTheme="minorEastAsia" w:cstheme="minorEastAsia"/>
          <w:color w:val="000000" w:themeColor="text1"/>
        </w:rPr>
      </w:pPr>
      <w:r>
        <w:rPr>
          <w:rFonts w:hint="eastAsia" w:ascii="黑体" w:hAnsi="黑体" w:eastAsia="黑体"/>
          <w:color w:val="000000"/>
        </w:rPr>
        <w:t>4.</w:t>
      </w:r>
      <w:r>
        <w:rPr>
          <w:rFonts w:hint="eastAsia" w:ascii="黑体" w:hAnsi="黑体" w:eastAsia="黑体" w:cstheme="minorEastAsia"/>
          <w:color w:val="000000" w:themeColor="text1"/>
        </w:rPr>
        <w:t>3.5 异形片、</w:t>
      </w:r>
      <w:r>
        <w:rPr>
          <w:rFonts w:hint="eastAsia" w:ascii="黑体" w:hAnsi="黑体" w:eastAsia="黑体"/>
          <w:color w:val="000000" w:themeColor="text1"/>
        </w:rPr>
        <w:t>药屑杂质</w:t>
      </w:r>
      <w:r>
        <w:rPr>
          <w:rFonts w:hint="eastAsia" w:ascii="黑体" w:hAnsi="黑体" w:eastAsia="黑体" w:cstheme="minorEastAsia"/>
          <w:color w:val="000000" w:themeColor="text1"/>
        </w:rPr>
        <w:t xml:space="preserve">  </w:t>
      </w:r>
      <w:r>
        <w:rPr>
          <w:rFonts w:hint="eastAsia" w:asciiTheme="minorEastAsia" w:hAnsiTheme="minorEastAsia" w:cstheme="minorEastAsia"/>
          <w:color w:val="000000" w:themeColor="text1"/>
        </w:rPr>
        <w:t>不得过5</w:t>
      </w:r>
      <w:r>
        <w:rPr>
          <w:rFonts w:ascii="Times New Roman" w:hAnsi="Times New Roman" w:cs="Times New Roman"/>
          <w:color w:val="000000" w:themeColor="text1"/>
        </w:rPr>
        <w:t>%</w:t>
      </w:r>
      <w:r>
        <w:rPr>
          <w:rFonts w:hint="eastAsia" w:asciiTheme="minorEastAsia" w:hAnsiTheme="minorEastAsia" w:cstheme="minorEastAsia"/>
          <w:color w:val="000000" w:themeColor="text1"/>
        </w:rPr>
        <w:t>。</w:t>
      </w:r>
    </w:p>
    <w:p>
      <w:pPr>
        <w:widowControl w:val="0"/>
        <w:spacing w:line="360" w:lineRule="auto"/>
        <w:rPr>
          <w:rFonts w:ascii="宋体" w:hAnsi="宋体" w:eastAsia="宋体" w:cs="Times New Roman"/>
          <w:color w:val="000000"/>
          <w:kern w:val="2"/>
        </w:rPr>
      </w:pPr>
      <w:r>
        <w:rPr>
          <w:rFonts w:hint="eastAsia" w:ascii="黑体" w:hAnsi="宋体" w:eastAsia="黑体" w:cs="Times New Roman"/>
          <w:color w:val="000000"/>
          <w:kern w:val="2"/>
        </w:rPr>
        <w:t>4.3.6</w:t>
      </w:r>
      <w:r>
        <w:rPr>
          <w:rFonts w:hint="eastAsia" w:ascii="黑体" w:hAnsi="宋体" w:eastAsia="黑体" w:cs="Times New Roman"/>
          <w:color w:val="000000"/>
          <w:kern w:val="2"/>
          <w:lang w:val="en-US" w:eastAsia="zh-CN"/>
        </w:rPr>
        <w:t xml:space="preserve"> </w:t>
      </w:r>
      <w:r>
        <w:rPr>
          <w:rFonts w:hint="eastAsia" w:ascii="黑体" w:hAnsi="宋体" w:eastAsia="黑体" w:cs="Times New Roman"/>
          <w:color w:val="000000"/>
          <w:kern w:val="2"/>
        </w:rPr>
        <w:t>二氧化硫残留量</w:t>
      </w:r>
      <w:r>
        <w:rPr>
          <w:rFonts w:hint="eastAsia" w:ascii="宋体" w:hAnsi="宋体" w:eastAsia="宋体" w:cs="Times New Roman"/>
          <w:color w:val="000000"/>
          <w:kern w:val="2"/>
        </w:rPr>
        <w:t xml:space="preserve">  照二氧化硫残留量测定法（中国药典2015年版通则2331）测定，不得过150</w:t>
      </w:r>
      <w:r>
        <w:rPr>
          <w:rFonts w:ascii="Times New Roman" w:hAnsi="Times New Roman" w:eastAsia="宋体" w:cs="Times New Roman"/>
          <w:color w:val="000000"/>
          <w:kern w:val="2"/>
        </w:rPr>
        <w:t>mg/kg</w:t>
      </w:r>
      <w:r>
        <w:rPr>
          <w:rFonts w:hint="eastAsia" w:ascii="Times New Roman" w:hAnsi="Times New Roman" w:eastAsia="宋体" w:cs="Times New Roman"/>
          <w:color w:val="000000"/>
          <w:kern w:val="2"/>
        </w:rPr>
        <w:t>。</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4.4 浸出物</w:t>
      </w:r>
    </w:p>
    <w:p>
      <w:pPr>
        <w:widowControl w:val="0"/>
        <w:spacing w:line="360" w:lineRule="auto"/>
        <w:ind w:firstLine="420" w:firstLineChars="200"/>
        <w:rPr>
          <w:rFonts w:ascii="宋体" w:hAnsi="宋体" w:eastAsia="宋体" w:cs="Times New Roman"/>
          <w:kern w:val="2"/>
        </w:rPr>
      </w:pPr>
      <w:r>
        <w:rPr>
          <w:rFonts w:hint="eastAsia" w:ascii="Times New Roman" w:hAnsi="Times New Roman" w:eastAsia="宋体" w:cs="Times New Roman"/>
          <w:color w:val="000000"/>
          <w:kern w:val="2"/>
        </w:rPr>
        <w:t>照醇溶性浸出物测定法</w:t>
      </w:r>
      <w:r>
        <w:rPr>
          <w:rFonts w:hint="eastAsia" w:ascii="宋体" w:hAnsi="宋体" w:eastAsia="宋体" w:cs="Times New Roman"/>
          <w:color w:val="000000"/>
          <w:kern w:val="2"/>
        </w:rPr>
        <w:t>(中国药典2015年版</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2201)</w:t>
      </w:r>
      <w:r>
        <w:rPr>
          <w:rFonts w:hint="eastAsia" w:ascii="Times New Roman" w:hAnsi="Times New Roman" w:eastAsia="宋体" w:cs="Times New Roman"/>
          <w:color w:val="000000"/>
          <w:kern w:val="2"/>
        </w:rPr>
        <w:t>项下的热浸法测定，</w:t>
      </w:r>
      <w:r>
        <w:rPr>
          <w:rFonts w:hint="eastAsia" w:ascii="宋体" w:hAnsi="宋体" w:eastAsia="宋体" w:cs="Times New Roman"/>
          <w:color w:val="000000"/>
          <w:kern w:val="2"/>
        </w:rPr>
        <w:t>用70</w:t>
      </w:r>
      <w:r>
        <w:rPr>
          <w:rFonts w:ascii="Times New Roman" w:hAnsi="Times New Roman" w:eastAsia="宋体" w:cs="Times New Roman"/>
          <w:color w:val="000000"/>
          <w:kern w:val="2"/>
        </w:rPr>
        <w:t>%</w:t>
      </w:r>
      <w:r>
        <w:rPr>
          <w:rFonts w:hint="eastAsia" w:ascii="Times New Roman" w:hAnsi="Times New Roman" w:eastAsia="宋体" w:cs="Times New Roman"/>
          <w:color w:val="000000"/>
          <w:kern w:val="2"/>
        </w:rPr>
        <w:t>乙醇作溶剂，</w:t>
      </w:r>
      <w:r>
        <w:rPr>
          <w:rFonts w:hint="eastAsia" w:ascii="Times New Roman" w:hAnsi="Times New Roman" w:eastAsia="宋体" w:cs="Times New Roman"/>
          <w:kern w:val="2"/>
        </w:rPr>
        <w:t>不得少于</w:t>
      </w:r>
      <w:r>
        <w:rPr>
          <w:rFonts w:hint="eastAsia" w:cs="Times New Roman" w:asciiTheme="minorEastAsia" w:hAnsiTheme="minorEastAsia"/>
          <w:kern w:val="2"/>
        </w:rPr>
        <w:t>50.0</w:t>
      </w:r>
      <w:r>
        <w:rPr>
          <w:rFonts w:ascii="Times New Roman" w:hAnsi="Times New Roman" w:eastAsia="宋体" w:cs="Times New Roman"/>
          <w:kern w:val="2"/>
        </w:rPr>
        <w:t>%</w:t>
      </w:r>
      <w:r>
        <w:rPr>
          <w:rFonts w:hint="eastAsia" w:ascii="宋体" w:hAnsi="宋体" w:eastAsia="宋体" w:cs="Times New Roman"/>
          <w:kern w:val="2"/>
        </w:rPr>
        <w:t>。</w:t>
      </w:r>
    </w:p>
    <w:p>
      <w:pPr>
        <w:spacing w:line="360" w:lineRule="auto"/>
        <w:rPr>
          <w:rFonts w:hAnsi="宋体"/>
        </w:rPr>
      </w:pPr>
      <w:r>
        <w:rPr>
          <w:rFonts w:hint="eastAsia" w:ascii="黑体" w:hAnsi="黑体" w:eastAsia="黑体" w:cstheme="minorEastAsia"/>
          <w:color w:val="000000" w:themeColor="text1"/>
        </w:rPr>
        <w:t xml:space="preserve">4.5 含量测定 </w:t>
      </w:r>
      <w:r>
        <w:rPr>
          <w:rFonts w:hint="eastAsia" w:ascii="黑体" w:hAnsi="Times New Roman" w:eastAsia="黑体" w:cs="Times New Roman"/>
          <w:color w:val="000000"/>
          <w:kern w:val="2"/>
        </w:rPr>
        <w:t xml:space="preserve"> </w:t>
      </w:r>
      <w:r>
        <w:rPr>
          <w:rFonts w:hint="eastAsia" w:ascii="宋体" w:hAnsi="宋体" w:eastAsia="宋体" w:cs="Times New Roman"/>
          <w:color w:val="000000"/>
          <w:kern w:val="2"/>
        </w:rPr>
        <w:t>照高效液相色谱法(中国药典2015年版</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0512)测定。</w:t>
      </w:r>
    </w:p>
    <w:p>
      <w:pPr>
        <w:widowControl w:val="0"/>
        <w:spacing w:line="360" w:lineRule="auto"/>
        <w:ind w:firstLine="420" w:firstLineChars="200"/>
        <w:rPr>
          <w:rFonts w:ascii="Times New Roman" w:hAnsi="Times New Roman" w:eastAsia="宋体" w:cs="Times New Roman"/>
          <w:color w:val="000000"/>
          <w:kern w:val="2"/>
        </w:rPr>
      </w:pPr>
      <w:r>
        <w:rPr>
          <w:rFonts w:hint="eastAsia" w:ascii="宋体" w:hAnsi="宋体" w:eastAsia="宋体" w:cs="Times New Roman"/>
          <w:color w:val="000000"/>
          <w:kern w:val="2"/>
        </w:rPr>
        <w:t xml:space="preserve">色谱条件与系统适用性试验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以十八烷基硅烷键合硅胶为填充剂；以乙腈</w:t>
      </w:r>
      <w:r>
        <w:rPr>
          <w:rFonts w:ascii="Times New Roman" w:hAnsi="Times New Roman" w:eastAsia="宋体" w:cs="Times New Roman"/>
          <w:color w:val="000000"/>
          <w:kern w:val="2"/>
        </w:rPr>
        <w:t>-</w:t>
      </w:r>
      <w:r>
        <w:rPr>
          <w:rFonts w:hint="eastAsia" w:ascii="宋体" w:hAnsi="宋体" w:eastAsia="宋体" w:cs="Times New Roman"/>
          <w:color w:val="000000"/>
          <w:kern w:val="2"/>
        </w:rPr>
        <w:t>0.085</w:t>
      </w:r>
      <w:r>
        <w:rPr>
          <w:rFonts w:hint="eastAsia" w:ascii="Times New Roman" w:hAnsi="Times New Roman" w:eastAsia="宋体" w:cs="Times New Roman"/>
          <w:color w:val="000000"/>
          <w:kern w:val="2"/>
        </w:rPr>
        <w:t>％磷酸溶液</w:t>
      </w:r>
      <w:r>
        <w:rPr>
          <w:rFonts w:cs="Times New Roman" w:asciiTheme="minorEastAsia" w:hAnsiTheme="minorEastAsia"/>
          <w:color w:val="000000"/>
          <w:kern w:val="2"/>
        </w:rPr>
        <w:t>(17</w:t>
      </w:r>
      <w:r>
        <w:rPr>
          <w:rFonts w:hint="eastAsia" w:cs="Times New Roman" w:asciiTheme="minorEastAsia" w:hAnsiTheme="minorEastAsia"/>
          <w:color w:val="000000"/>
          <w:kern w:val="2"/>
        </w:rPr>
        <w:t>﹕</w:t>
      </w:r>
      <w:r>
        <w:rPr>
          <w:rFonts w:cs="Times New Roman" w:asciiTheme="minorEastAsia" w:hAnsiTheme="minorEastAsia"/>
          <w:color w:val="000000"/>
          <w:kern w:val="2"/>
        </w:rPr>
        <w:t>83)</w:t>
      </w:r>
      <w:r>
        <w:rPr>
          <w:rFonts w:hint="eastAsia" w:cs="Times New Roman" w:asciiTheme="minorEastAsia" w:hAnsiTheme="minorEastAsia"/>
          <w:color w:val="000000"/>
          <w:kern w:val="2"/>
        </w:rPr>
        <w:t>为</w:t>
      </w:r>
      <w:r>
        <w:rPr>
          <w:rFonts w:hint="eastAsia" w:ascii="Times New Roman" w:hAnsi="Times New Roman" w:eastAsia="宋体" w:cs="Times New Roman"/>
          <w:color w:val="000000"/>
          <w:kern w:val="2"/>
        </w:rPr>
        <w:t>流动相；检测波长</w:t>
      </w:r>
      <w:r>
        <w:rPr>
          <w:rFonts w:hint="eastAsia" w:cs="Times New Roman" w:asciiTheme="minorEastAsia" w:hAnsiTheme="minorEastAsia"/>
          <w:color w:val="000000"/>
          <w:kern w:val="2"/>
        </w:rPr>
        <w:t>为</w:t>
      </w:r>
      <w:r>
        <w:rPr>
          <w:rFonts w:cs="Times New Roman" w:asciiTheme="minorEastAsia" w:hAnsiTheme="minorEastAsia"/>
          <w:color w:val="000000"/>
          <w:kern w:val="2"/>
        </w:rPr>
        <w:t>316</w:t>
      </w:r>
      <w:r>
        <w:rPr>
          <w:rFonts w:ascii="Times New Roman" w:hAnsi="Times New Roman" w:eastAsia="宋体" w:cs="Times New Roman"/>
          <w:color w:val="000000"/>
          <w:kern w:val="2"/>
        </w:rPr>
        <w:t>nm</w:t>
      </w:r>
      <w:r>
        <w:rPr>
          <w:rFonts w:hint="eastAsia" w:ascii="Times New Roman" w:hAnsi="Times New Roman" w:eastAsia="宋体" w:cs="Times New Roman"/>
          <w:color w:val="000000"/>
          <w:kern w:val="2"/>
        </w:rPr>
        <w:t>；柱</w:t>
      </w:r>
      <w:r>
        <w:rPr>
          <w:rFonts w:hint="eastAsia" w:cs="Times New Roman" w:asciiTheme="minorEastAsia" w:hAnsiTheme="minorEastAsia"/>
          <w:color w:val="000000"/>
          <w:kern w:val="2"/>
        </w:rPr>
        <w:t>温</w:t>
      </w:r>
      <w:r>
        <w:rPr>
          <w:rFonts w:cs="Times New Roman" w:asciiTheme="minorEastAsia" w:hAnsiTheme="minorEastAsia"/>
          <w:color w:val="000000"/>
          <w:kern w:val="2"/>
        </w:rPr>
        <w:t>35</w:t>
      </w:r>
      <w:r>
        <w:rPr>
          <w:rFonts w:hint="eastAsia" w:ascii="宋体" w:hAnsi="宋体" w:eastAsia="宋体" w:cs="宋体"/>
          <w:color w:val="000000"/>
          <w:kern w:val="2"/>
        </w:rPr>
        <w:t>℃</w:t>
      </w:r>
      <w:r>
        <w:rPr>
          <w:rFonts w:hint="eastAsia" w:ascii="Times New Roman" w:hAnsi="Times New Roman" w:eastAsia="宋体" w:cs="Times New Roman"/>
          <w:color w:val="000000"/>
          <w:kern w:val="2"/>
        </w:rPr>
        <w:t>。理论板数按阿魏酸峰计算应不低</w:t>
      </w:r>
      <w:r>
        <w:rPr>
          <w:rFonts w:hint="eastAsia" w:cs="Times New Roman" w:asciiTheme="minorEastAsia" w:hAnsiTheme="minorEastAsia"/>
          <w:color w:val="000000"/>
          <w:kern w:val="2"/>
        </w:rPr>
        <w:t>于</w:t>
      </w:r>
      <w:r>
        <w:rPr>
          <w:rFonts w:cs="Times New Roman" w:asciiTheme="minorEastAsia" w:hAnsiTheme="minorEastAsia"/>
          <w:color w:val="000000"/>
          <w:kern w:val="2"/>
        </w:rPr>
        <w:t>5000</w:t>
      </w:r>
      <w:r>
        <w:rPr>
          <w:rFonts w:hint="eastAsia" w:cs="Times New Roman" w:asciiTheme="minorEastAsia" w:hAnsiTheme="minorEastAsia"/>
          <w:color w:val="000000"/>
          <w:kern w:val="2"/>
        </w:rPr>
        <w:t>。</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hint="eastAsia" w:ascii="黑体" w:hAnsi="黑体" w:eastAsia="黑体" w:cs="Times New Roman"/>
          <w:color w:val="000000"/>
          <w:kern w:val="2"/>
        </w:rPr>
        <w:t xml:space="preserve">  </w:t>
      </w:r>
      <w:r>
        <w:rPr>
          <w:rFonts w:hint="eastAsia" w:ascii="宋体" w:hAnsi="宋体" w:eastAsia="宋体" w:cs="Times New Roman"/>
          <w:color w:val="000000"/>
          <w:kern w:val="2"/>
        </w:rPr>
        <w:t xml:space="preserve"> 对照品溶液的制备</w:t>
      </w:r>
      <w:r>
        <w:rPr>
          <w:rFonts w:hint="eastAsia" w:ascii="黑体" w:hAnsi="黑体" w:eastAsia="黑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取阿魏酸对照品适量，精密称定，置棕色量瓶中，加</w:t>
      </w:r>
      <w:r>
        <w:rPr>
          <w:rFonts w:cs="Times New Roman" w:asciiTheme="minorEastAsia" w:hAnsiTheme="minorEastAsia"/>
          <w:color w:val="000000"/>
          <w:kern w:val="2"/>
        </w:rPr>
        <w:t>70</w:t>
      </w:r>
      <w:r>
        <w:rPr>
          <w:rFonts w:hint="eastAsia" w:ascii="Times New Roman" w:hAnsi="Times New Roman" w:eastAsia="宋体" w:cs="Times New Roman"/>
          <w:color w:val="000000"/>
          <w:kern w:val="2"/>
        </w:rPr>
        <w:t>％甲醇制成每</w:t>
      </w:r>
      <w:r>
        <w:rPr>
          <w:rFonts w:cs="Times New Roman" w:asciiTheme="minorEastAsia" w:hAnsiTheme="minorEastAsia"/>
          <w:color w:val="000000"/>
          <w:kern w:val="2"/>
        </w:rPr>
        <w:t>1</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含阿魏酸</w:t>
      </w:r>
      <w:r>
        <w:rPr>
          <w:rFonts w:cs="Times New Roman" w:asciiTheme="minorEastAsia" w:hAnsiTheme="minorEastAsia"/>
          <w:color w:val="000000"/>
          <w:kern w:val="2"/>
        </w:rPr>
        <w:t>12</w:t>
      </w:r>
      <w:r>
        <w:rPr>
          <w:rFonts w:ascii="Times New Roman" w:hAnsi="Times New Roman" w:eastAsia="宋体" w:cs="Times New Roman"/>
          <w:color w:val="000000"/>
          <w:kern w:val="2"/>
        </w:rPr>
        <w:t>µg</w:t>
      </w:r>
      <w:r>
        <w:rPr>
          <w:rFonts w:hint="eastAsia" w:ascii="Times New Roman" w:hAnsi="Times New Roman" w:eastAsia="宋体" w:cs="Times New Roman"/>
          <w:color w:val="000000"/>
          <w:kern w:val="2"/>
        </w:rPr>
        <w:t>的溶液，摇匀，即得。</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hint="eastAsia" w:ascii="黑体" w:hAnsi="黑体" w:eastAsia="黑体" w:cs="Times New Roman"/>
          <w:color w:val="000000"/>
          <w:kern w:val="2"/>
        </w:rPr>
        <w:t xml:space="preserve">  </w:t>
      </w:r>
      <w:r>
        <w:rPr>
          <w:rFonts w:hint="eastAsia" w:ascii="宋体" w:hAnsi="宋体" w:eastAsia="宋体" w:cs="Times New Roman"/>
          <w:color w:val="000000"/>
          <w:kern w:val="2"/>
        </w:rPr>
        <w:t xml:space="preserve"> 供试品溶液的制备</w:t>
      </w:r>
      <w:r>
        <w:rPr>
          <w:rFonts w:ascii="宋体" w:hAnsi="宋体" w:eastAsia="宋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取本品粉末</w:t>
      </w:r>
      <w:r>
        <w:rPr>
          <w:rFonts w:hint="eastAsia" w:ascii="宋体" w:hAnsi="宋体" w:eastAsia="宋体" w:cs="Times New Roman"/>
          <w:color w:val="000000"/>
          <w:kern w:val="2"/>
        </w:rPr>
        <w:t>(过三号筛)</w:t>
      </w:r>
      <w:r>
        <w:rPr>
          <w:rFonts w:hint="eastAsia" w:ascii="Times New Roman" w:hAnsi="Times New Roman" w:eastAsia="宋体" w:cs="Times New Roman"/>
          <w:color w:val="000000"/>
          <w:kern w:val="2"/>
        </w:rPr>
        <w:t>约</w:t>
      </w:r>
      <w:r>
        <w:rPr>
          <w:rFonts w:hint="eastAsia" w:ascii="宋体" w:hAnsi="宋体" w:eastAsia="宋体" w:cs="Times New Roman"/>
          <w:color w:val="000000"/>
          <w:kern w:val="2"/>
        </w:rPr>
        <w:t>0.2</w:t>
      </w:r>
      <w:r>
        <w:rPr>
          <w:rFonts w:ascii="Times New Roman" w:hAnsi="Times New Roman" w:eastAsia="宋体" w:cs="Times New Roman"/>
          <w:color w:val="000000"/>
          <w:kern w:val="2"/>
        </w:rPr>
        <w:t>g</w:t>
      </w:r>
      <w:r>
        <w:rPr>
          <w:rFonts w:hint="eastAsia" w:ascii="Times New Roman" w:hAnsi="Times New Roman" w:eastAsia="宋体" w:cs="Times New Roman"/>
          <w:color w:val="000000"/>
          <w:kern w:val="2"/>
        </w:rPr>
        <w:t>，精密称定，置具塞锥形瓶中，精密加入</w:t>
      </w:r>
      <w:r>
        <w:rPr>
          <w:rFonts w:cs="Times New Roman" w:asciiTheme="minorEastAsia" w:hAnsiTheme="minorEastAsia"/>
          <w:color w:val="000000"/>
          <w:kern w:val="2"/>
        </w:rPr>
        <w:t>70</w:t>
      </w:r>
      <w:r>
        <w:rPr>
          <w:rFonts w:hint="eastAsia" w:ascii="Times New Roman" w:hAnsi="Times New Roman" w:eastAsia="宋体" w:cs="Times New Roman"/>
          <w:color w:val="000000"/>
          <w:kern w:val="2"/>
        </w:rPr>
        <w:t>％甲醇</w:t>
      </w:r>
      <w:r>
        <w:rPr>
          <w:rFonts w:cs="Times New Roman" w:asciiTheme="minorEastAsia" w:hAnsiTheme="minorEastAsia"/>
          <w:color w:val="000000"/>
          <w:kern w:val="2"/>
        </w:rPr>
        <w:t>20</w:t>
      </w:r>
      <w:r>
        <w:rPr>
          <w:rFonts w:ascii="Times New Roman" w:hAnsi="Times New Roman" w:eastAsia="宋体" w:cs="Times New Roman"/>
          <w:color w:val="000000"/>
          <w:kern w:val="2"/>
        </w:rPr>
        <w:t>ml</w:t>
      </w:r>
      <w:r>
        <w:rPr>
          <w:rFonts w:hint="eastAsia" w:ascii="Times New Roman" w:hAnsi="Times New Roman" w:eastAsia="宋体" w:cs="Times New Roman"/>
          <w:color w:val="000000"/>
          <w:kern w:val="2"/>
        </w:rPr>
        <w:t>，密塞，称定重量，加热回流</w:t>
      </w:r>
      <w:r>
        <w:rPr>
          <w:rFonts w:ascii="Times New Roman" w:hAnsi="Times New Roman" w:eastAsia="宋体" w:cs="Times New Roman"/>
          <w:color w:val="000000"/>
          <w:kern w:val="2"/>
        </w:rPr>
        <w:t>30</w:t>
      </w:r>
      <w:r>
        <w:rPr>
          <w:rFonts w:hint="eastAsia" w:ascii="Times New Roman" w:hAnsi="Times New Roman" w:eastAsia="宋体" w:cs="Times New Roman"/>
          <w:color w:val="000000"/>
          <w:kern w:val="2"/>
        </w:rPr>
        <w:t>分钟，放冷，再称定重量，用</w:t>
      </w:r>
      <w:r>
        <w:rPr>
          <w:rFonts w:cs="Times New Roman" w:asciiTheme="minorEastAsia" w:hAnsiTheme="minorEastAsia"/>
          <w:color w:val="000000"/>
          <w:kern w:val="2"/>
        </w:rPr>
        <w:t>70</w:t>
      </w:r>
      <w:r>
        <w:rPr>
          <w:rFonts w:hint="eastAsia" w:ascii="Times New Roman" w:hAnsi="Times New Roman" w:eastAsia="宋体" w:cs="Times New Roman"/>
          <w:color w:val="000000"/>
          <w:kern w:val="2"/>
        </w:rPr>
        <w:t>％甲醇补足减失的重量，摇匀，静置，取上清液滤过，取续滤液，即得。</w:t>
      </w:r>
    </w:p>
    <w:p>
      <w:pPr>
        <w:widowControl w:val="0"/>
        <w:spacing w:line="360" w:lineRule="auto"/>
        <w:rPr>
          <w:rFonts w:ascii="Times New Roman" w:hAnsi="Times New Roman" w:eastAsia="宋体" w:cs="Times New Roman"/>
          <w:color w:val="000000"/>
          <w:kern w:val="2"/>
        </w:rPr>
      </w:pPr>
      <w:r>
        <w:rPr>
          <w:rFonts w:ascii="Times New Roman" w:hAnsi="Times New Roman" w:eastAsia="宋体" w:cs="Times New Roman"/>
          <w:color w:val="000000"/>
          <w:kern w:val="2"/>
        </w:rPr>
        <w:t xml:space="preserve">  </w:t>
      </w:r>
      <w:r>
        <w:rPr>
          <w:rFonts w:ascii="Times New Roman" w:hAnsi="Times New Roman" w:eastAsia="宋体" w:cs="Times New Roman"/>
          <w:b/>
          <w:color w:val="000000"/>
          <w:kern w:val="2"/>
        </w:rPr>
        <w:t xml:space="preserve"> </w:t>
      </w:r>
      <w:r>
        <w:rPr>
          <w:rFonts w:hint="eastAsia" w:ascii="宋体" w:hAnsi="宋体" w:eastAsia="宋体" w:cs="Times New Roman"/>
          <w:color w:val="000000"/>
          <w:kern w:val="2"/>
        </w:rPr>
        <w:t xml:space="preserve"> 测定法</w:t>
      </w:r>
      <w:r>
        <w:rPr>
          <w:rFonts w:ascii="宋体" w:hAnsi="宋体" w:eastAsia="宋体" w:cs="Times New Roman"/>
          <w:b/>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分别精密吸取对照品溶液与供试品溶液各</w:t>
      </w:r>
      <w:r>
        <w:rPr>
          <w:rFonts w:ascii="Times New Roman" w:hAnsi="Times New Roman" w:eastAsia="宋体" w:cs="Times New Roman"/>
          <w:color w:val="000000"/>
          <w:kern w:val="2"/>
        </w:rPr>
        <w:t>10µl</w:t>
      </w:r>
      <w:r>
        <w:rPr>
          <w:rFonts w:hint="eastAsia" w:ascii="Times New Roman" w:hAnsi="Times New Roman" w:eastAsia="宋体" w:cs="Times New Roman"/>
          <w:color w:val="000000"/>
          <w:kern w:val="2"/>
        </w:rPr>
        <w:t>，注入液相色谱仪，测定，即得。</w:t>
      </w:r>
    </w:p>
    <w:p>
      <w:pPr>
        <w:widowControl w:val="0"/>
        <w:spacing w:line="360" w:lineRule="auto"/>
        <w:ind w:firstLine="420"/>
        <w:rPr>
          <w:rFonts w:ascii="宋体" w:hAnsi="宋体" w:eastAsia="宋体" w:cs="Times New Roman"/>
          <w:kern w:val="2"/>
        </w:rPr>
      </w:pPr>
      <w:r>
        <w:rPr>
          <w:rFonts w:hint="eastAsia" w:ascii="宋体" w:hAnsi="宋体" w:eastAsia="宋体" w:cs="Times New Roman"/>
          <w:color w:val="000000"/>
          <w:kern w:val="2"/>
        </w:rPr>
        <w:t>本品按干燥品计算，含阿魏酸(</w:t>
      </w:r>
      <w:r>
        <w:rPr>
          <w:rFonts w:ascii="Times New Roman" w:hAnsi="Times New Roman" w:eastAsia="宋体" w:cs="Times New Roman"/>
          <w:color w:val="000000"/>
          <w:kern w:val="2"/>
        </w:rPr>
        <w:t>C</w:t>
      </w:r>
      <w:r>
        <w:rPr>
          <w:rFonts w:ascii="Times New Roman" w:hAnsi="Times New Roman" w:eastAsia="宋体" w:cs="Times New Roman"/>
          <w:color w:val="000000"/>
          <w:kern w:val="2"/>
          <w:vertAlign w:val="subscript"/>
        </w:rPr>
        <w:t>10</w:t>
      </w:r>
      <w:r>
        <w:rPr>
          <w:rFonts w:ascii="Times New Roman" w:hAnsi="Times New Roman" w:eastAsia="宋体" w:cs="Times New Roman"/>
          <w:color w:val="000000"/>
          <w:kern w:val="2"/>
        </w:rPr>
        <w:t>H</w:t>
      </w:r>
      <w:r>
        <w:rPr>
          <w:rFonts w:ascii="Times New Roman" w:hAnsi="Times New Roman" w:eastAsia="宋体" w:cs="Times New Roman"/>
          <w:color w:val="000000"/>
          <w:kern w:val="2"/>
          <w:vertAlign w:val="subscript"/>
        </w:rPr>
        <w:t>10</w:t>
      </w:r>
      <w:r>
        <w:rPr>
          <w:rFonts w:ascii="Times New Roman" w:hAnsi="Times New Roman" w:eastAsia="宋体" w:cs="Times New Roman"/>
          <w:color w:val="000000"/>
          <w:kern w:val="2"/>
        </w:rPr>
        <w:t>O</w:t>
      </w:r>
      <w:r>
        <w:rPr>
          <w:rFonts w:ascii="Times New Roman" w:hAnsi="Times New Roman" w:eastAsia="宋体" w:cs="Times New Roman"/>
          <w:color w:val="000000"/>
          <w:kern w:val="2"/>
          <w:vertAlign w:val="subscript"/>
        </w:rPr>
        <w:t>4</w:t>
      </w:r>
      <w:r>
        <w:rPr>
          <w:rFonts w:hint="eastAsia" w:ascii="宋体" w:hAnsi="宋体" w:eastAsia="宋体" w:cs="Times New Roman"/>
          <w:color w:val="000000"/>
          <w:kern w:val="2"/>
        </w:rPr>
        <w:t>)不得</w:t>
      </w:r>
      <w:r>
        <w:rPr>
          <w:rFonts w:hint="eastAsia" w:ascii="宋体" w:hAnsi="宋体" w:eastAsia="宋体" w:cs="Times New Roman"/>
          <w:kern w:val="2"/>
        </w:rPr>
        <w:t>少于</w:t>
      </w:r>
      <w:r>
        <w:rPr>
          <w:rFonts w:hint="eastAsia" w:cs="Times New Roman" w:asciiTheme="minorEastAsia" w:hAnsiTheme="minorEastAsia"/>
          <w:kern w:val="2"/>
        </w:rPr>
        <w:t>0.060</w:t>
      </w:r>
      <w:r>
        <w:rPr>
          <w:rFonts w:hint="eastAsia" w:ascii="宋体" w:hAnsi="宋体" w:eastAsia="宋体" w:cs="Times New Roman"/>
          <w:kern w:val="2"/>
        </w:rPr>
        <w:t>％。</w:t>
      </w:r>
    </w:p>
    <w:p>
      <w:pPr>
        <w:widowControl w:val="0"/>
        <w:spacing w:line="360" w:lineRule="auto"/>
        <w:rPr>
          <w:rFonts w:ascii="黑体" w:hAnsi="黑体" w:eastAsia="黑体" w:cs="黑体"/>
          <w:color w:val="000000" w:themeColor="text1"/>
        </w:rPr>
      </w:pPr>
      <w:r>
        <w:rPr>
          <w:rFonts w:hint="eastAsia" w:ascii="黑体" w:hAnsi="黑体" w:eastAsia="黑体" w:cs="黑体"/>
          <w:color w:val="000000" w:themeColor="text1"/>
        </w:rPr>
        <w:t>5 附注</w:t>
      </w:r>
    </w:p>
    <w:p>
      <w:pPr>
        <w:spacing w:line="360" w:lineRule="auto"/>
        <w:rPr>
          <w:rFonts w:cs="Times New Roman" w:asciiTheme="minorEastAsia" w:hAnsiTheme="minorEastAsia"/>
          <w:b/>
          <w:color w:val="000000"/>
        </w:rPr>
      </w:pPr>
      <w:r>
        <w:rPr>
          <w:rFonts w:hint="eastAsia" w:ascii="黑体" w:hAnsi="黑体" w:eastAsia="黑体" w:cs="黑体"/>
          <w:color w:val="000000" w:themeColor="text1"/>
        </w:rPr>
        <w:t>5.1</w:t>
      </w:r>
      <w:r>
        <w:rPr>
          <w:rFonts w:hint="eastAsia" w:ascii="黑体" w:hAnsi="黑体" w:eastAsia="黑体" w:cs="黑体"/>
          <w:color w:val="000000" w:themeColor="text1"/>
          <w:lang w:val="en-US" w:eastAsia="zh-CN"/>
        </w:rPr>
        <w:t xml:space="preserve"> </w:t>
      </w:r>
      <w:r>
        <w:rPr>
          <w:rFonts w:hint="eastAsia" w:ascii="黑体" w:hAnsi="黑体" w:eastAsia="黑体" w:cs="Times New Roman"/>
          <w:color w:val="000000"/>
        </w:rPr>
        <w:t>重金属及有害元素</w:t>
      </w:r>
      <w:r>
        <w:rPr>
          <w:rFonts w:hint="eastAsia" w:cs="Times New Roman" w:asciiTheme="minorEastAsia" w:hAnsiTheme="minorEastAsia"/>
          <w:color w:val="000000"/>
        </w:rPr>
        <w:t xml:space="preserve">  </w:t>
      </w:r>
      <w:r>
        <w:rPr>
          <w:rFonts w:hint="eastAsia" w:cs="黑体" w:asciiTheme="minorEastAsia" w:hAnsiTheme="minorEastAsia"/>
          <w:color w:val="000000" w:themeColor="text1"/>
        </w:rPr>
        <w:t>当归原药材中的</w:t>
      </w:r>
      <w:r>
        <w:rPr>
          <w:rFonts w:hint="eastAsia" w:cs="Times New Roman" w:asciiTheme="minorEastAsia" w:hAnsiTheme="minorEastAsia"/>
          <w:color w:val="000000"/>
        </w:rPr>
        <w:t>重金属及有害元素，照</w:t>
      </w:r>
      <w:r>
        <w:rPr>
          <w:rFonts w:hint="eastAsia" w:cs="黑体" w:asciiTheme="minorEastAsia" w:hAnsiTheme="minorEastAsia"/>
          <w:color w:val="000000" w:themeColor="text1"/>
        </w:rPr>
        <w:t>铅、镉、砷、汞、铜测定法</w:t>
      </w:r>
      <w:r>
        <w:rPr>
          <w:rFonts w:hint="eastAsia" w:ascii="宋体" w:hAnsi="宋体" w:eastAsia="宋体" w:cs="Times New Roman"/>
          <w:color w:val="000000"/>
          <w:kern w:val="2"/>
        </w:rPr>
        <w:t>(中国药典2015年版四部</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2321)测定。</w:t>
      </w:r>
    </w:p>
    <w:p>
      <w:pPr>
        <w:spacing w:line="360" w:lineRule="auto"/>
        <w:rPr>
          <w:rFonts w:cs="Times New Roman" w:asciiTheme="minorEastAsia" w:hAnsiTheme="minorEastAsia"/>
          <w:b/>
          <w:color w:val="000000"/>
        </w:rPr>
      </w:pPr>
      <w:r>
        <w:rPr>
          <w:rFonts w:hint="eastAsia" w:ascii="黑体" w:hAnsi="黑体" w:eastAsia="黑体" w:cs="Times New Roman"/>
          <w:color w:val="000000"/>
        </w:rPr>
        <w:t>5.2</w:t>
      </w:r>
      <w:r>
        <w:rPr>
          <w:rFonts w:hint="eastAsia" w:ascii="黑体" w:hAnsi="黑体" w:eastAsia="黑体" w:cs="Times New Roman"/>
          <w:color w:val="000000"/>
          <w:lang w:val="en-US" w:eastAsia="zh-CN"/>
        </w:rPr>
        <w:t xml:space="preserve"> </w:t>
      </w:r>
      <w:r>
        <w:rPr>
          <w:rFonts w:ascii="黑体" w:hAnsi="黑体" w:eastAsia="黑体" w:cs="Times New Roman"/>
          <w:color w:val="000000"/>
          <w:kern w:val="2"/>
        </w:rPr>
        <w:t>农药残留量</w:t>
      </w:r>
      <w:r>
        <w:rPr>
          <w:rFonts w:cs="Times New Roman" w:asciiTheme="minorEastAsia" w:hAnsiTheme="minorEastAsia"/>
          <w:b/>
          <w:color w:val="000000"/>
          <w:kern w:val="2"/>
        </w:rPr>
        <w:t xml:space="preserve"> </w:t>
      </w:r>
      <w:r>
        <w:rPr>
          <w:rFonts w:hint="eastAsia" w:cs="Times New Roman" w:asciiTheme="minorEastAsia" w:hAnsiTheme="minorEastAsia"/>
          <w:b/>
          <w:color w:val="000000"/>
          <w:kern w:val="2"/>
        </w:rPr>
        <w:t xml:space="preserve"> </w:t>
      </w:r>
      <w:r>
        <w:rPr>
          <w:rFonts w:hint="eastAsia" w:cs="黑体" w:asciiTheme="minorEastAsia" w:hAnsiTheme="minorEastAsia"/>
          <w:color w:val="000000" w:themeColor="text1"/>
        </w:rPr>
        <w:t>当归原药材中的</w:t>
      </w:r>
      <w:r>
        <w:rPr>
          <w:rFonts w:cs="Times New Roman" w:asciiTheme="minorEastAsia" w:hAnsiTheme="minorEastAsia"/>
          <w:color w:val="000000"/>
          <w:kern w:val="2"/>
        </w:rPr>
        <w:t>农药残留量</w:t>
      </w:r>
      <w:r>
        <w:rPr>
          <w:rFonts w:hint="eastAsia" w:cs="Times New Roman" w:asciiTheme="minorEastAsia" w:hAnsiTheme="minorEastAsia"/>
          <w:color w:val="000000"/>
        </w:rPr>
        <w:t>，照</w:t>
      </w:r>
      <w:r>
        <w:rPr>
          <w:rFonts w:cs="Times New Roman" w:asciiTheme="minorEastAsia" w:hAnsiTheme="minorEastAsia"/>
          <w:color w:val="000000"/>
          <w:kern w:val="2"/>
        </w:rPr>
        <w:t>农药残留量</w:t>
      </w:r>
      <w:r>
        <w:rPr>
          <w:rFonts w:hint="eastAsia" w:cs="黑体" w:asciiTheme="minorEastAsia" w:hAnsiTheme="minorEastAsia"/>
          <w:color w:val="000000" w:themeColor="text1"/>
        </w:rPr>
        <w:t>测定法</w:t>
      </w:r>
      <w:r>
        <w:rPr>
          <w:rFonts w:hint="eastAsia" w:ascii="宋体" w:hAnsi="宋体" w:eastAsia="宋体" w:cs="Times New Roman"/>
          <w:color w:val="000000"/>
          <w:kern w:val="2"/>
        </w:rPr>
        <w:t>(中国药典2015年版四部</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2341)测定。</w:t>
      </w:r>
    </w:p>
    <w:p>
      <w:pPr>
        <w:spacing w:line="360" w:lineRule="auto"/>
        <w:ind w:firstLine="210" w:firstLineChars="100"/>
        <w:rPr>
          <w:rFonts w:cs="Times New Roman" w:asciiTheme="minorEastAsia" w:hAnsiTheme="minorEastAsia"/>
          <w:color w:val="000000"/>
          <w:kern w:val="2"/>
        </w:rPr>
      </w:pPr>
    </w:p>
    <w:p>
      <w:pPr>
        <w:widowControl w:val="0"/>
        <w:spacing w:line="360" w:lineRule="auto"/>
        <w:rPr>
          <w:rFonts w:cs="黑体" w:asciiTheme="minorEastAsia" w:hAnsiTheme="minorEastAsia"/>
          <w:color w:val="000000" w:themeColor="text1"/>
        </w:rPr>
      </w:pPr>
    </w:p>
    <w:sectPr>
      <w:footerReference r:id="rId8" w:type="default"/>
      <w:pgSz w:w="11906" w:h="16838"/>
      <w:pgMar w:top="1701" w:right="1440" w:bottom="1440" w:left="1440" w:header="708" w:footer="708" w:gutter="0"/>
      <w:pgNumType w:fmt="decimal" w:start="1"/>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GRJGQQ+CIDFont+F2">
    <w:altName w:val="Arial Unicode MS"/>
    <w:panose1 w:val="00000000000000000000"/>
    <w:charset w:val="01"/>
    <w:family w:val="modern"/>
    <w:pitch w:val="default"/>
    <w:sig w:usb0="00000000" w:usb1="00000000" w:usb2="01010101" w:usb3="01010101" w:csb0="01010101" w:csb1="01010101"/>
  </w:font>
  <w:font w:name="方正黑体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BQGNQP+CIDFont+F3">
    <w:altName w:val="Arial Unicode MS"/>
    <w:panose1 w:val="00000000000000000000"/>
    <w:charset w:val="01"/>
    <w:family w:val="auto"/>
    <w:pitch w:val="default"/>
    <w:sig w:usb0="00000000" w:usb1="00000000" w:usb2="01010101" w:usb3="01010101" w:csb0="01010101" w:csb1="01010101"/>
  </w:font>
  <w:font w:name="VFQWUQ+CIDFont+F2">
    <w:altName w:val="Arial Unicode MS"/>
    <w:panose1 w:val="00000000000000000000"/>
    <w:charset w:val="01"/>
    <w:family w:val="modern"/>
    <w:pitch w:val="default"/>
    <w:sig w:usb0="00000000" w:usb1="00000000" w:usb2="01010101" w:usb3="01010101" w:csb0="01010101" w:csb1="01010101"/>
  </w:font>
  <w:font w:name="DPVTIA+CIDFont+F3">
    <w:altName w:val="Arial Unicode MS"/>
    <w:panose1 w:val="00000000000000000000"/>
    <w:charset w:val="01"/>
    <w:family w:val="auto"/>
    <w:pitch w:val="default"/>
    <w:sig w:usb0="00000000" w:usb1="00000000" w:usb2="01010101" w:usb3="01010101" w:csb0="01010101" w:csb1="01010101"/>
  </w:font>
  <w:font w:name="UMVNCG+CIDFont+F2">
    <w:altName w:val="Arial Unicode MS"/>
    <w:panose1 w:val="00000000000000000000"/>
    <w:charset w:val="01"/>
    <w:family w:val="modern"/>
    <w:pitch w:val="default"/>
    <w:sig w:usb0="00000000" w:usb1="00000000" w:usb2="01010101" w:usb3="01010101" w:csb0="01010101" w:csb1="01010101"/>
  </w:font>
  <w:font w:name="OTAIGI+CIDFont+F3">
    <w:altName w:val="Arial Unicode MS"/>
    <w:panose1 w:val="00000000000000000000"/>
    <w:charset w:val="01"/>
    <w:family w:val="auto"/>
    <w:pitch w:val="default"/>
    <w:sig w:usb0="00000000" w:usb1="00000000" w:usb2="01010101" w:usb3="01010101" w:csb0="01010101" w:csb1="01010101"/>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113691"/>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rFonts w:hint="eastAsia" w:ascii="GRJGQQ+CIDFont+F2"/>
        <w:color w:val="000000"/>
        <w:spacing w:val="2"/>
        <w:sz w:val="24"/>
        <w:szCs w:val="24"/>
      </w:rPr>
    </w:pPr>
  </w:p>
  <w:p>
    <w:pPr>
      <w:pStyle w:val="22"/>
      <w:pBdr>
        <w:bottom w:val="none" w:color="auto" w:sz="0" w:space="0"/>
      </w:pBdr>
    </w:pPr>
    <w:r>
      <w:rPr>
        <w:rFonts w:hint="eastAsia" w:ascii="GRJGQQ+CIDFont+F2"/>
        <w:color w:val="000000"/>
        <w:spacing w:val="2"/>
        <w:sz w:val="24"/>
        <w:szCs w:val="24"/>
        <w:lang w:val="en-US" w:eastAsia="zh-CN"/>
      </w:rPr>
      <w:t xml:space="preserve">                                                  </w:t>
    </w: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/T001</w:t>
    </w:r>
    <w:r>
      <w:rPr>
        <w:rFonts w:hint="eastAsia" w:ascii="方正黑体简体" w:hAnsi="方正黑体简体" w:eastAsia="方正黑体简体" w:cs="方正黑体简体"/>
        <w:color w:val="000000"/>
        <w:spacing w:val="2"/>
        <w:sz w:val="24"/>
        <w:szCs w:val="24"/>
        <w:lang w:val="en-US" w:eastAsia="zh-CN"/>
      </w:rPr>
      <w:t>BZ</w:t>
    </w:r>
    <w:r>
      <w:rPr>
        <w:rFonts w:hint="eastAsia" w:ascii="方正黑体简体" w:hAnsi="方正黑体简体" w:eastAsia="方正黑体简体" w:cs="方正黑体简体"/>
        <w:color w:val="000000"/>
        <w:spacing w:val="2"/>
        <w:sz w:val="24"/>
        <w:szCs w:val="24"/>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54"/>
      <w:suff w:val="nothing"/>
      <w:lvlText w:val="%1　"/>
      <w:lvlJc w:val="left"/>
      <w:pPr>
        <w:ind w:left="426" w:firstLine="0"/>
      </w:pPr>
      <w:rPr>
        <w:rFonts w:hint="eastAsia" w:ascii="仿宋_GB2312" w:hAnsi="Times New Roman" w:eastAsia="仿宋_GB2312"/>
        <w:b w:val="0"/>
        <w:i w:val="0"/>
        <w:sz w:val="28"/>
        <w:szCs w:val="28"/>
      </w:rPr>
    </w:lvl>
    <w:lvl w:ilvl="1" w:tentative="0">
      <w:start w:val="1"/>
      <w:numFmt w:val="decimal"/>
      <w:pStyle w:val="52"/>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851" w:firstLine="0"/>
      </w:pPr>
      <w:rPr>
        <w:rFonts w:hint="eastAsia" w:ascii="黑体" w:hAnsi="Times New Roman" w:eastAsia="黑体"/>
        <w:b w:val="0"/>
        <w:i w:val="0"/>
        <w:sz w:val="21"/>
      </w:rPr>
    </w:lvl>
    <w:lvl w:ilvl="3" w:tentative="0">
      <w:start w:val="1"/>
      <w:numFmt w:val="decimal"/>
      <w:pStyle w:val="56"/>
      <w:suff w:val="nothing"/>
      <w:lvlText w:val="%1.%2.%3.%4　"/>
      <w:lvlJc w:val="left"/>
      <w:pPr>
        <w:ind w:left="462" w:firstLine="0"/>
      </w:pPr>
      <w:rPr>
        <w:rFonts w:hint="eastAsia" w:ascii="黑体" w:hAnsi="Times New Roman" w:eastAsia="黑体"/>
        <w:b w:val="0"/>
        <w:i w:val="0"/>
        <w:sz w:val="21"/>
      </w:rPr>
    </w:lvl>
    <w:lvl w:ilvl="4" w:tentative="0">
      <w:start w:val="1"/>
      <w:numFmt w:val="decimal"/>
      <w:pStyle w:val="57"/>
      <w:suff w:val="nothing"/>
      <w:lvlText w:val="%1.%2.%3.%4.%5　"/>
      <w:lvlJc w:val="left"/>
      <w:pPr>
        <w:ind w:left="462" w:firstLine="0"/>
      </w:pPr>
      <w:rPr>
        <w:rFonts w:hint="eastAsia" w:ascii="黑体" w:hAnsi="Times New Roman" w:eastAsia="黑体"/>
        <w:b w:val="0"/>
        <w:i w:val="0"/>
        <w:sz w:val="21"/>
      </w:rPr>
    </w:lvl>
    <w:lvl w:ilvl="5" w:tentative="0">
      <w:start w:val="1"/>
      <w:numFmt w:val="decimal"/>
      <w:pStyle w:val="58"/>
      <w:suff w:val="nothing"/>
      <w:lvlText w:val="%1.%2.%3.%4.%5.%6　"/>
      <w:lvlJc w:val="left"/>
      <w:pPr>
        <w:ind w:left="462" w:firstLine="0"/>
      </w:pPr>
      <w:rPr>
        <w:rFonts w:hint="eastAsia" w:ascii="黑体" w:hAnsi="Times New Roman" w:eastAsia="黑体"/>
        <w:b w:val="0"/>
        <w:i w:val="0"/>
        <w:sz w:val="21"/>
      </w:rPr>
    </w:lvl>
    <w:lvl w:ilvl="6" w:tentative="0">
      <w:start w:val="1"/>
      <w:numFmt w:val="decimal"/>
      <w:suff w:val="nothing"/>
      <w:lvlText w:val="%1%2.%3.%4.%5.%6.%7　"/>
      <w:lvlJc w:val="left"/>
      <w:pPr>
        <w:ind w:left="462" w:firstLine="0"/>
      </w:pPr>
      <w:rPr>
        <w:rFonts w:hint="eastAsia" w:ascii="黑体" w:hAnsi="Times New Roman" w:eastAsia="黑体"/>
        <w:b w:val="0"/>
        <w:i w:val="0"/>
        <w:sz w:val="21"/>
      </w:rPr>
    </w:lvl>
    <w:lvl w:ilvl="7" w:tentative="0">
      <w:start w:val="1"/>
      <w:numFmt w:val="decimal"/>
      <w:lvlText w:val="%1.%2.%3.%4.%5.%6.%7.%8"/>
      <w:lvlJc w:val="left"/>
      <w:pPr>
        <w:tabs>
          <w:tab w:val="left" w:pos="4813"/>
        </w:tabs>
        <w:ind w:left="4431" w:hanging="1418"/>
      </w:pPr>
    </w:lvl>
    <w:lvl w:ilvl="8" w:tentative="0">
      <w:start w:val="1"/>
      <w:numFmt w:val="decimal"/>
      <w:lvlText w:val="%1.%2.%3.%4.%5.%6.%7.%8.%9"/>
      <w:lvlJc w:val="left"/>
      <w:pPr>
        <w:tabs>
          <w:tab w:val="left" w:pos="5239"/>
        </w:tabs>
        <w:ind w:left="5139"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hdrShapeDefaults>
    <o:shapelayout v:ext="edit">
      <o:idmap v:ext="edit" data="2"/>
    </o:shapelayout>
  </w:hdrShapeDefaults>
  <w:compat>
    <w:balanceSingleByteDoubleByteWidth/>
    <w:useFELayout/>
    <w:compatSetting w:name="compatibilityMode" w:uri="http://schemas.microsoft.com/office/word" w:val="12"/>
  </w:compat>
  <w:rsids>
    <w:rsidRoot w:val="003C25E9"/>
    <w:rsid w:val="00001945"/>
    <w:rsid w:val="00001AE2"/>
    <w:rsid w:val="000132F6"/>
    <w:rsid w:val="000165F3"/>
    <w:rsid w:val="00021FF8"/>
    <w:rsid w:val="00025243"/>
    <w:rsid w:val="000313BC"/>
    <w:rsid w:val="00034855"/>
    <w:rsid w:val="000410E2"/>
    <w:rsid w:val="000473AE"/>
    <w:rsid w:val="000501A1"/>
    <w:rsid w:val="0006576E"/>
    <w:rsid w:val="000658B4"/>
    <w:rsid w:val="0006650D"/>
    <w:rsid w:val="000841C9"/>
    <w:rsid w:val="00087211"/>
    <w:rsid w:val="000955E9"/>
    <w:rsid w:val="00096391"/>
    <w:rsid w:val="00096B95"/>
    <w:rsid w:val="000A1F49"/>
    <w:rsid w:val="000A5664"/>
    <w:rsid w:val="000A7CBA"/>
    <w:rsid w:val="000B4813"/>
    <w:rsid w:val="000B66A1"/>
    <w:rsid w:val="000D1C66"/>
    <w:rsid w:val="000D2E58"/>
    <w:rsid w:val="000D3DCC"/>
    <w:rsid w:val="000E4777"/>
    <w:rsid w:val="000F0C78"/>
    <w:rsid w:val="00101FD0"/>
    <w:rsid w:val="001028F0"/>
    <w:rsid w:val="00107B6A"/>
    <w:rsid w:val="00110799"/>
    <w:rsid w:val="00111B82"/>
    <w:rsid w:val="00120C59"/>
    <w:rsid w:val="00121DDF"/>
    <w:rsid w:val="001246F9"/>
    <w:rsid w:val="00133B0A"/>
    <w:rsid w:val="001511F8"/>
    <w:rsid w:val="001550BF"/>
    <w:rsid w:val="00164F4F"/>
    <w:rsid w:val="00165715"/>
    <w:rsid w:val="00165E9F"/>
    <w:rsid w:val="00166714"/>
    <w:rsid w:val="001706A7"/>
    <w:rsid w:val="00184885"/>
    <w:rsid w:val="001875FA"/>
    <w:rsid w:val="00187793"/>
    <w:rsid w:val="00187E48"/>
    <w:rsid w:val="0019009B"/>
    <w:rsid w:val="00191FC1"/>
    <w:rsid w:val="00195DA6"/>
    <w:rsid w:val="00197544"/>
    <w:rsid w:val="001975A9"/>
    <w:rsid w:val="0019760C"/>
    <w:rsid w:val="001A08FE"/>
    <w:rsid w:val="001A532D"/>
    <w:rsid w:val="001A53E7"/>
    <w:rsid w:val="001A5BDD"/>
    <w:rsid w:val="001A5C81"/>
    <w:rsid w:val="001B0318"/>
    <w:rsid w:val="001B1B6C"/>
    <w:rsid w:val="001B1DE5"/>
    <w:rsid w:val="001C1E6D"/>
    <w:rsid w:val="001C27E9"/>
    <w:rsid w:val="001D3251"/>
    <w:rsid w:val="001E1850"/>
    <w:rsid w:val="001E2EAC"/>
    <w:rsid w:val="001E2F04"/>
    <w:rsid w:val="001E4702"/>
    <w:rsid w:val="001E5BF7"/>
    <w:rsid w:val="001F2997"/>
    <w:rsid w:val="001F31A6"/>
    <w:rsid w:val="001F3869"/>
    <w:rsid w:val="001F3C00"/>
    <w:rsid w:val="001F5994"/>
    <w:rsid w:val="00200E79"/>
    <w:rsid w:val="00201AD6"/>
    <w:rsid w:val="00205C7F"/>
    <w:rsid w:val="00205D01"/>
    <w:rsid w:val="0021020C"/>
    <w:rsid w:val="00215BDC"/>
    <w:rsid w:val="00216C65"/>
    <w:rsid w:val="0021752F"/>
    <w:rsid w:val="00220C76"/>
    <w:rsid w:val="00220CF6"/>
    <w:rsid w:val="00230624"/>
    <w:rsid w:val="002329F4"/>
    <w:rsid w:val="00232C73"/>
    <w:rsid w:val="0024504F"/>
    <w:rsid w:val="00246640"/>
    <w:rsid w:val="00255A98"/>
    <w:rsid w:val="00256089"/>
    <w:rsid w:val="00260D84"/>
    <w:rsid w:val="00261BB7"/>
    <w:rsid w:val="00267107"/>
    <w:rsid w:val="00274F00"/>
    <w:rsid w:val="0027730B"/>
    <w:rsid w:val="00287F6E"/>
    <w:rsid w:val="00292579"/>
    <w:rsid w:val="00293327"/>
    <w:rsid w:val="0029439C"/>
    <w:rsid w:val="0029698C"/>
    <w:rsid w:val="002A772C"/>
    <w:rsid w:val="002A7CAB"/>
    <w:rsid w:val="002B244D"/>
    <w:rsid w:val="002B33FE"/>
    <w:rsid w:val="002C1476"/>
    <w:rsid w:val="002C23C6"/>
    <w:rsid w:val="002D345F"/>
    <w:rsid w:val="002E4D91"/>
    <w:rsid w:val="002E5E26"/>
    <w:rsid w:val="002F29A0"/>
    <w:rsid w:val="002F667F"/>
    <w:rsid w:val="002F7C4D"/>
    <w:rsid w:val="00301102"/>
    <w:rsid w:val="00305BCF"/>
    <w:rsid w:val="00306F87"/>
    <w:rsid w:val="0031034C"/>
    <w:rsid w:val="0031264F"/>
    <w:rsid w:val="00314B57"/>
    <w:rsid w:val="0032176B"/>
    <w:rsid w:val="0032242E"/>
    <w:rsid w:val="003308F5"/>
    <w:rsid w:val="00331565"/>
    <w:rsid w:val="00331E3A"/>
    <w:rsid w:val="00335779"/>
    <w:rsid w:val="00342CCC"/>
    <w:rsid w:val="003505FB"/>
    <w:rsid w:val="00360F24"/>
    <w:rsid w:val="003661E4"/>
    <w:rsid w:val="0037065D"/>
    <w:rsid w:val="0037306C"/>
    <w:rsid w:val="00373E24"/>
    <w:rsid w:val="003766C1"/>
    <w:rsid w:val="00387486"/>
    <w:rsid w:val="00393C45"/>
    <w:rsid w:val="003A3F72"/>
    <w:rsid w:val="003A4308"/>
    <w:rsid w:val="003A4ED4"/>
    <w:rsid w:val="003A7C64"/>
    <w:rsid w:val="003B096D"/>
    <w:rsid w:val="003B42FE"/>
    <w:rsid w:val="003B4ED9"/>
    <w:rsid w:val="003C11E1"/>
    <w:rsid w:val="003C25E9"/>
    <w:rsid w:val="003D2C58"/>
    <w:rsid w:val="003D781E"/>
    <w:rsid w:val="003E197E"/>
    <w:rsid w:val="003E4735"/>
    <w:rsid w:val="003F2F18"/>
    <w:rsid w:val="003F5D4C"/>
    <w:rsid w:val="003F629C"/>
    <w:rsid w:val="003F7EE8"/>
    <w:rsid w:val="004151B6"/>
    <w:rsid w:val="00421961"/>
    <w:rsid w:val="0042199F"/>
    <w:rsid w:val="004229BA"/>
    <w:rsid w:val="004246A2"/>
    <w:rsid w:val="00426EDB"/>
    <w:rsid w:val="00427DA5"/>
    <w:rsid w:val="0043051F"/>
    <w:rsid w:val="0043065E"/>
    <w:rsid w:val="004344CC"/>
    <w:rsid w:val="00435C67"/>
    <w:rsid w:val="00437D01"/>
    <w:rsid w:val="00441128"/>
    <w:rsid w:val="00442CF7"/>
    <w:rsid w:val="00443E85"/>
    <w:rsid w:val="004456B0"/>
    <w:rsid w:val="00446250"/>
    <w:rsid w:val="00451E1F"/>
    <w:rsid w:val="0046091F"/>
    <w:rsid w:val="00460D7D"/>
    <w:rsid w:val="00464F9C"/>
    <w:rsid w:val="00473B57"/>
    <w:rsid w:val="00473B99"/>
    <w:rsid w:val="00477777"/>
    <w:rsid w:val="00481CB9"/>
    <w:rsid w:val="004841DB"/>
    <w:rsid w:val="00487467"/>
    <w:rsid w:val="00491E82"/>
    <w:rsid w:val="0049234E"/>
    <w:rsid w:val="004A05D9"/>
    <w:rsid w:val="004A1129"/>
    <w:rsid w:val="004A5493"/>
    <w:rsid w:val="004B01FB"/>
    <w:rsid w:val="004B0BA6"/>
    <w:rsid w:val="004C3C1A"/>
    <w:rsid w:val="004D01EC"/>
    <w:rsid w:val="004D10BB"/>
    <w:rsid w:val="004D3BD8"/>
    <w:rsid w:val="004D4BCE"/>
    <w:rsid w:val="004D625D"/>
    <w:rsid w:val="004D68E9"/>
    <w:rsid w:val="004D7392"/>
    <w:rsid w:val="004E54B2"/>
    <w:rsid w:val="004E798E"/>
    <w:rsid w:val="004F0D46"/>
    <w:rsid w:val="004F1A43"/>
    <w:rsid w:val="004F2743"/>
    <w:rsid w:val="004F2905"/>
    <w:rsid w:val="004F2AF4"/>
    <w:rsid w:val="004F53F8"/>
    <w:rsid w:val="00511635"/>
    <w:rsid w:val="005228C3"/>
    <w:rsid w:val="00523F27"/>
    <w:rsid w:val="00535448"/>
    <w:rsid w:val="005359F9"/>
    <w:rsid w:val="0054052F"/>
    <w:rsid w:val="00545988"/>
    <w:rsid w:val="00546A74"/>
    <w:rsid w:val="0055218F"/>
    <w:rsid w:val="00555288"/>
    <w:rsid w:val="00555DC8"/>
    <w:rsid w:val="00560C11"/>
    <w:rsid w:val="00564757"/>
    <w:rsid w:val="0058482C"/>
    <w:rsid w:val="00595DB3"/>
    <w:rsid w:val="005A0336"/>
    <w:rsid w:val="005A6A7E"/>
    <w:rsid w:val="005A7CF6"/>
    <w:rsid w:val="005B1AE0"/>
    <w:rsid w:val="005B20A4"/>
    <w:rsid w:val="005B2C71"/>
    <w:rsid w:val="005B3CF6"/>
    <w:rsid w:val="005C56D5"/>
    <w:rsid w:val="005C6656"/>
    <w:rsid w:val="005D2536"/>
    <w:rsid w:val="005E0033"/>
    <w:rsid w:val="005E4D47"/>
    <w:rsid w:val="005E57FC"/>
    <w:rsid w:val="005F0C19"/>
    <w:rsid w:val="005F2396"/>
    <w:rsid w:val="005F5C51"/>
    <w:rsid w:val="005F604A"/>
    <w:rsid w:val="005F7927"/>
    <w:rsid w:val="00603F4C"/>
    <w:rsid w:val="00604735"/>
    <w:rsid w:val="00612A6A"/>
    <w:rsid w:val="00614343"/>
    <w:rsid w:val="00615601"/>
    <w:rsid w:val="006218E8"/>
    <w:rsid w:val="00621F3F"/>
    <w:rsid w:val="00622BDF"/>
    <w:rsid w:val="00634F83"/>
    <w:rsid w:val="006350D4"/>
    <w:rsid w:val="00637A9E"/>
    <w:rsid w:val="006409FE"/>
    <w:rsid w:val="00646AA5"/>
    <w:rsid w:val="00653B6C"/>
    <w:rsid w:val="0065542D"/>
    <w:rsid w:val="006567A2"/>
    <w:rsid w:val="006573A1"/>
    <w:rsid w:val="00660C46"/>
    <w:rsid w:val="006629CC"/>
    <w:rsid w:val="006658A7"/>
    <w:rsid w:val="006666FE"/>
    <w:rsid w:val="00666B17"/>
    <w:rsid w:val="006708EC"/>
    <w:rsid w:val="00675DF5"/>
    <w:rsid w:val="00680CCE"/>
    <w:rsid w:val="006A4160"/>
    <w:rsid w:val="006A7D3E"/>
    <w:rsid w:val="006C2BB5"/>
    <w:rsid w:val="006C59A9"/>
    <w:rsid w:val="006D194B"/>
    <w:rsid w:val="006D5520"/>
    <w:rsid w:val="006D6B8F"/>
    <w:rsid w:val="006E261C"/>
    <w:rsid w:val="006E3C30"/>
    <w:rsid w:val="006E678C"/>
    <w:rsid w:val="006F34D0"/>
    <w:rsid w:val="006F584B"/>
    <w:rsid w:val="006F7C08"/>
    <w:rsid w:val="006F7F97"/>
    <w:rsid w:val="00712A62"/>
    <w:rsid w:val="00712B82"/>
    <w:rsid w:val="00714D09"/>
    <w:rsid w:val="0071786A"/>
    <w:rsid w:val="0071788A"/>
    <w:rsid w:val="007217A4"/>
    <w:rsid w:val="00721E7B"/>
    <w:rsid w:val="00732DEC"/>
    <w:rsid w:val="00734A18"/>
    <w:rsid w:val="00741022"/>
    <w:rsid w:val="00742A27"/>
    <w:rsid w:val="00745DEF"/>
    <w:rsid w:val="00746A69"/>
    <w:rsid w:val="00752025"/>
    <w:rsid w:val="007534FE"/>
    <w:rsid w:val="00753DF6"/>
    <w:rsid w:val="007540EF"/>
    <w:rsid w:val="007552A7"/>
    <w:rsid w:val="00755F1D"/>
    <w:rsid w:val="0075619E"/>
    <w:rsid w:val="00762A00"/>
    <w:rsid w:val="007630C8"/>
    <w:rsid w:val="007661C1"/>
    <w:rsid w:val="00766BAB"/>
    <w:rsid w:val="007674E4"/>
    <w:rsid w:val="00771D89"/>
    <w:rsid w:val="00780CC6"/>
    <w:rsid w:val="00785589"/>
    <w:rsid w:val="00787AA6"/>
    <w:rsid w:val="007918F7"/>
    <w:rsid w:val="00793C49"/>
    <w:rsid w:val="007A248F"/>
    <w:rsid w:val="007A3E20"/>
    <w:rsid w:val="007A49BE"/>
    <w:rsid w:val="007B578C"/>
    <w:rsid w:val="007B7D4B"/>
    <w:rsid w:val="007C09B6"/>
    <w:rsid w:val="007C1569"/>
    <w:rsid w:val="007C59AB"/>
    <w:rsid w:val="007D713A"/>
    <w:rsid w:val="007E06E6"/>
    <w:rsid w:val="007E1C30"/>
    <w:rsid w:val="007E2667"/>
    <w:rsid w:val="007E2EC4"/>
    <w:rsid w:val="007E519D"/>
    <w:rsid w:val="007E57C9"/>
    <w:rsid w:val="007F01CA"/>
    <w:rsid w:val="007F060A"/>
    <w:rsid w:val="007F070C"/>
    <w:rsid w:val="007F0759"/>
    <w:rsid w:val="007F358D"/>
    <w:rsid w:val="007F43A5"/>
    <w:rsid w:val="007F4DD0"/>
    <w:rsid w:val="00800688"/>
    <w:rsid w:val="00800EE6"/>
    <w:rsid w:val="00801728"/>
    <w:rsid w:val="0080173D"/>
    <w:rsid w:val="00806BB7"/>
    <w:rsid w:val="008124B4"/>
    <w:rsid w:val="00812DBB"/>
    <w:rsid w:val="0081460D"/>
    <w:rsid w:val="0081694E"/>
    <w:rsid w:val="0081705C"/>
    <w:rsid w:val="00817525"/>
    <w:rsid w:val="008246E5"/>
    <w:rsid w:val="008261F6"/>
    <w:rsid w:val="008264CC"/>
    <w:rsid w:val="008307E7"/>
    <w:rsid w:val="00834AC1"/>
    <w:rsid w:val="00836BB0"/>
    <w:rsid w:val="00837872"/>
    <w:rsid w:val="00840DC8"/>
    <w:rsid w:val="00840E2E"/>
    <w:rsid w:val="008436A6"/>
    <w:rsid w:val="00850284"/>
    <w:rsid w:val="00855321"/>
    <w:rsid w:val="00855E92"/>
    <w:rsid w:val="008618DF"/>
    <w:rsid w:val="00862BF7"/>
    <w:rsid w:val="00864CE6"/>
    <w:rsid w:val="0086763C"/>
    <w:rsid w:val="00867E30"/>
    <w:rsid w:val="00872B3D"/>
    <w:rsid w:val="00873169"/>
    <w:rsid w:val="00873831"/>
    <w:rsid w:val="00876D8E"/>
    <w:rsid w:val="00881317"/>
    <w:rsid w:val="00887A95"/>
    <w:rsid w:val="00891B86"/>
    <w:rsid w:val="008930BD"/>
    <w:rsid w:val="00893834"/>
    <w:rsid w:val="00895709"/>
    <w:rsid w:val="00895B4A"/>
    <w:rsid w:val="00896C6D"/>
    <w:rsid w:val="00897521"/>
    <w:rsid w:val="008A0B54"/>
    <w:rsid w:val="008A18C4"/>
    <w:rsid w:val="008A60C9"/>
    <w:rsid w:val="008A79C2"/>
    <w:rsid w:val="008A7D56"/>
    <w:rsid w:val="008C5A07"/>
    <w:rsid w:val="008D0323"/>
    <w:rsid w:val="008E3268"/>
    <w:rsid w:val="008E5A8F"/>
    <w:rsid w:val="008E7A3A"/>
    <w:rsid w:val="008F500A"/>
    <w:rsid w:val="008F78C5"/>
    <w:rsid w:val="0090235A"/>
    <w:rsid w:val="009029B7"/>
    <w:rsid w:val="00902C0F"/>
    <w:rsid w:val="009115A1"/>
    <w:rsid w:val="00916B76"/>
    <w:rsid w:val="009236A9"/>
    <w:rsid w:val="00924B10"/>
    <w:rsid w:val="00926422"/>
    <w:rsid w:val="00926920"/>
    <w:rsid w:val="00927BEB"/>
    <w:rsid w:val="00942D00"/>
    <w:rsid w:val="0094452A"/>
    <w:rsid w:val="00950019"/>
    <w:rsid w:val="009503F4"/>
    <w:rsid w:val="00950EA7"/>
    <w:rsid w:val="00951AFA"/>
    <w:rsid w:val="00951C77"/>
    <w:rsid w:val="0095540E"/>
    <w:rsid w:val="00955DD9"/>
    <w:rsid w:val="0095613D"/>
    <w:rsid w:val="00960ED1"/>
    <w:rsid w:val="00964E2D"/>
    <w:rsid w:val="0098489E"/>
    <w:rsid w:val="00991C24"/>
    <w:rsid w:val="00992668"/>
    <w:rsid w:val="00993CFF"/>
    <w:rsid w:val="00995F58"/>
    <w:rsid w:val="009A297F"/>
    <w:rsid w:val="009A5DB1"/>
    <w:rsid w:val="009B18EA"/>
    <w:rsid w:val="009B7AE7"/>
    <w:rsid w:val="009C1908"/>
    <w:rsid w:val="009C7D2F"/>
    <w:rsid w:val="009D0107"/>
    <w:rsid w:val="009D27ED"/>
    <w:rsid w:val="009D3B90"/>
    <w:rsid w:val="009D53DE"/>
    <w:rsid w:val="009D797B"/>
    <w:rsid w:val="009E1CFE"/>
    <w:rsid w:val="009E29D3"/>
    <w:rsid w:val="009E3AF8"/>
    <w:rsid w:val="009F3354"/>
    <w:rsid w:val="009F37A2"/>
    <w:rsid w:val="00A048B5"/>
    <w:rsid w:val="00A07549"/>
    <w:rsid w:val="00A20686"/>
    <w:rsid w:val="00A20CD7"/>
    <w:rsid w:val="00A21CC9"/>
    <w:rsid w:val="00A2535D"/>
    <w:rsid w:val="00A25E52"/>
    <w:rsid w:val="00A27D2A"/>
    <w:rsid w:val="00A32D7E"/>
    <w:rsid w:val="00A33948"/>
    <w:rsid w:val="00A34DBA"/>
    <w:rsid w:val="00A35D00"/>
    <w:rsid w:val="00A41480"/>
    <w:rsid w:val="00A44F72"/>
    <w:rsid w:val="00A4639A"/>
    <w:rsid w:val="00A47401"/>
    <w:rsid w:val="00A50250"/>
    <w:rsid w:val="00A569D2"/>
    <w:rsid w:val="00A62483"/>
    <w:rsid w:val="00A64A52"/>
    <w:rsid w:val="00A6703B"/>
    <w:rsid w:val="00A67853"/>
    <w:rsid w:val="00A67C5E"/>
    <w:rsid w:val="00A71045"/>
    <w:rsid w:val="00A77E35"/>
    <w:rsid w:val="00A83907"/>
    <w:rsid w:val="00A84EC6"/>
    <w:rsid w:val="00A86E7D"/>
    <w:rsid w:val="00A8708E"/>
    <w:rsid w:val="00A90EF1"/>
    <w:rsid w:val="00A93653"/>
    <w:rsid w:val="00A937DC"/>
    <w:rsid w:val="00A938E3"/>
    <w:rsid w:val="00AA029A"/>
    <w:rsid w:val="00AA0AEE"/>
    <w:rsid w:val="00AA1AE4"/>
    <w:rsid w:val="00AB25D5"/>
    <w:rsid w:val="00AB5088"/>
    <w:rsid w:val="00AC4ADE"/>
    <w:rsid w:val="00AD0EE9"/>
    <w:rsid w:val="00AD1C1D"/>
    <w:rsid w:val="00AD5D5F"/>
    <w:rsid w:val="00AE19CC"/>
    <w:rsid w:val="00AE38F1"/>
    <w:rsid w:val="00AE391B"/>
    <w:rsid w:val="00AE53F0"/>
    <w:rsid w:val="00AF28D2"/>
    <w:rsid w:val="00B00FBA"/>
    <w:rsid w:val="00B0636C"/>
    <w:rsid w:val="00B077B5"/>
    <w:rsid w:val="00B112D1"/>
    <w:rsid w:val="00B13BDA"/>
    <w:rsid w:val="00B16CAD"/>
    <w:rsid w:val="00B207F6"/>
    <w:rsid w:val="00B21AE4"/>
    <w:rsid w:val="00B23852"/>
    <w:rsid w:val="00B34A3E"/>
    <w:rsid w:val="00B366B9"/>
    <w:rsid w:val="00B374E1"/>
    <w:rsid w:val="00B42103"/>
    <w:rsid w:val="00B569F3"/>
    <w:rsid w:val="00B67925"/>
    <w:rsid w:val="00B77534"/>
    <w:rsid w:val="00B775BA"/>
    <w:rsid w:val="00B803CD"/>
    <w:rsid w:val="00B8080D"/>
    <w:rsid w:val="00B80B33"/>
    <w:rsid w:val="00B81078"/>
    <w:rsid w:val="00B97006"/>
    <w:rsid w:val="00BB0850"/>
    <w:rsid w:val="00BB1332"/>
    <w:rsid w:val="00BB30E0"/>
    <w:rsid w:val="00BB500C"/>
    <w:rsid w:val="00BB577E"/>
    <w:rsid w:val="00BC03F8"/>
    <w:rsid w:val="00BC3159"/>
    <w:rsid w:val="00BC3A2D"/>
    <w:rsid w:val="00BC5645"/>
    <w:rsid w:val="00BC591B"/>
    <w:rsid w:val="00BC6AB3"/>
    <w:rsid w:val="00BC7255"/>
    <w:rsid w:val="00BE1670"/>
    <w:rsid w:val="00BE3210"/>
    <w:rsid w:val="00BE747A"/>
    <w:rsid w:val="00BF27CC"/>
    <w:rsid w:val="00C14665"/>
    <w:rsid w:val="00C31F1A"/>
    <w:rsid w:val="00C32265"/>
    <w:rsid w:val="00C32A05"/>
    <w:rsid w:val="00C5084C"/>
    <w:rsid w:val="00C5268B"/>
    <w:rsid w:val="00C53070"/>
    <w:rsid w:val="00C62091"/>
    <w:rsid w:val="00C648D5"/>
    <w:rsid w:val="00C73417"/>
    <w:rsid w:val="00C74E4D"/>
    <w:rsid w:val="00C767C2"/>
    <w:rsid w:val="00C829F2"/>
    <w:rsid w:val="00C834D3"/>
    <w:rsid w:val="00C97145"/>
    <w:rsid w:val="00CA1016"/>
    <w:rsid w:val="00CA2ED6"/>
    <w:rsid w:val="00CA4828"/>
    <w:rsid w:val="00CB7335"/>
    <w:rsid w:val="00CC0F81"/>
    <w:rsid w:val="00CC105C"/>
    <w:rsid w:val="00CC1E23"/>
    <w:rsid w:val="00CC2A0A"/>
    <w:rsid w:val="00CC35E3"/>
    <w:rsid w:val="00CC4448"/>
    <w:rsid w:val="00CC5424"/>
    <w:rsid w:val="00CC7C20"/>
    <w:rsid w:val="00CD23E5"/>
    <w:rsid w:val="00CD2B9C"/>
    <w:rsid w:val="00CE0BD0"/>
    <w:rsid w:val="00CE3A0D"/>
    <w:rsid w:val="00CE6BCB"/>
    <w:rsid w:val="00CF53A6"/>
    <w:rsid w:val="00CF7BC7"/>
    <w:rsid w:val="00D00F99"/>
    <w:rsid w:val="00D033D0"/>
    <w:rsid w:val="00D05E9A"/>
    <w:rsid w:val="00D11D9A"/>
    <w:rsid w:val="00D1279D"/>
    <w:rsid w:val="00D21094"/>
    <w:rsid w:val="00D21809"/>
    <w:rsid w:val="00D3064A"/>
    <w:rsid w:val="00D3073A"/>
    <w:rsid w:val="00D35A3F"/>
    <w:rsid w:val="00D35EEF"/>
    <w:rsid w:val="00D40582"/>
    <w:rsid w:val="00D45F6C"/>
    <w:rsid w:val="00D4627F"/>
    <w:rsid w:val="00D52849"/>
    <w:rsid w:val="00D56343"/>
    <w:rsid w:val="00D62469"/>
    <w:rsid w:val="00D6677D"/>
    <w:rsid w:val="00D67236"/>
    <w:rsid w:val="00D67E31"/>
    <w:rsid w:val="00D7115A"/>
    <w:rsid w:val="00D755F2"/>
    <w:rsid w:val="00D77FF2"/>
    <w:rsid w:val="00D87206"/>
    <w:rsid w:val="00D8760F"/>
    <w:rsid w:val="00D92B50"/>
    <w:rsid w:val="00D94B1D"/>
    <w:rsid w:val="00D9532A"/>
    <w:rsid w:val="00D97953"/>
    <w:rsid w:val="00DA01DD"/>
    <w:rsid w:val="00DA032D"/>
    <w:rsid w:val="00DA1127"/>
    <w:rsid w:val="00DA5B1A"/>
    <w:rsid w:val="00DB274F"/>
    <w:rsid w:val="00DB2E40"/>
    <w:rsid w:val="00DB6DAF"/>
    <w:rsid w:val="00DC00C1"/>
    <w:rsid w:val="00DC6D13"/>
    <w:rsid w:val="00DD1313"/>
    <w:rsid w:val="00DD2951"/>
    <w:rsid w:val="00DD2BC3"/>
    <w:rsid w:val="00DD368F"/>
    <w:rsid w:val="00DD62C0"/>
    <w:rsid w:val="00DE2DEC"/>
    <w:rsid w:val="00DE7167"/>
    <w:rsid w:val="00DF4F8B"/>
    <w:rsid w:val="00DF5832"/>
    <w:rsid w:val="00E02310"/>
    <w:rsid w:val="00E05B06"/>
    <w:rsid w:val="00E106DB"/>
    <w:rsid w:val="00E1469B"/>
    <w:rsid w:val="00E154CF"/>
    <w:rsid w:val="00E23A4B"/>
    <w:rsid w:val="00E24DD3"/>
    <w:rsid w:val="00E34494"/>
    <w:rsid w:val="00E37A01"/>
    <w:rsid w:val="00E40721"/>
    <w:rsid w:val="00E5201D"/>
    <w:rsid w:val="00E52AE3"/>
    <w:rsid w:val="00E57856"/>
    <w:rsid w:val="00E62692"/>
    <w:rsid w:val="00E7427B"/>
    <w:rsid w:val="00E75B2F"/>
    <w:rsid w:val="00E76B80"/>
    <w:rsid w:val="00E80960"/>
    <w:rsid w:val="00E83E7C"/>
    <w:rsid w:val="00E84575"/>
    <w:rsid w:val="00E875A2"/>
    <w:rsid w:val="00E878AB"/>
    <w:rsid w:val="00E90DE6"/>
    <w:rsid w:val="00E91A9C"/>
    <w:rsid w:val="00EA0206"/>
    <w:rsid w:val="00EA0596"/>
    <w:rsid w:val="00EA4E07"/>
    <w:rsid w:val="00EA66DB"/>
    <w:rsid w:val="00EB14A2"/>
    <w:rsid w:val="00EB4D94"/>
    <w:rsid w:val="00EB642F"/>
    <w:rsid w:val="00EB7F79"/>
    <w:rsid w:val="00EC3B37"/>
    <w:rsid w:val="00EC6DE2"/>
    <w:rsid w:val="00EC7588"/>
    <w:rsid w:val="00ED1D4F"/>
    <w:rsid w:val="00ED4A41"/>
    <w:rsid w:val="00ED4D31"/>
    <w:rsid w:val="00ED6C06"/>
    <w:rsid w:val="00ED6C52"/>
    <w:rsid w:val="00ED70D5"/>
    <w:rsid w:val="00EE1FDC"/>
    <w:rsid w:val="00EE3B6E"/>
    <w:rsid w:val="00EF00CD"/>
    <w:rsid w:val="00EF78A7"/>
    <w:rsid w:val="00F00DD2"/>
    <w:rsid w:val="00F02965"/>
    <w:rsid w:val="00F0316D"/>
    <w:rsid w:val="00F04D16"/>
    <w:rsid w:val="00F0541D"/>
    <w:rsid w:val="00F10481"/>
    <w:rsid w:val="00F15978"/>
    <w:rsid w:val="00F172CD"/>
    <w:rsid w:val="00F17773"/>
    <w:rsid w:val="00F2081B"/>
    <w:rsid w:val="00F22335"/>
    <w:rsid w:val="00F3172D"/>
    <w:rsid w:val="00F31D25"/>
    <w:rsid w:val="00F34FB0"/>
    <w:rsid w:val="00F35055"/>
    <w:rsid w:val="00F367AD"/>
    <w:rsid w:val="00F37917"/>
    <w:rsid w:val="00F4196D"/>
    <w:rsid w:val="00F42585"/>
    <w:rsid w:val="00F50D0D"/>
    <w:rsid w:val="00F51290"/>
    <w:rsid w:val="00F513BC"/>
    <w:rsid w:val="00F5151A"/>
    <w:rsid w:val="00F6574F"/>
    <w:rsid w:val="00F66849"/>
    <w:rsid w:val="00F67B85"/>
    <w:rsid w:val="00F727DD"/>
    <w:rsid w:val="00F73E8A"/>
    <w:rsid w:val="00F741B4"/>
    <w:rsid w:val="00F7474F"/>
    <w:rsid w:val="00F82152"/>
    <w:rsid w:val="00F83DF5"/>
    <w:rsid w:val="00F8455B"/>
    <w:rsid w:val="00F87608"/>
    <w:rsid w:val="00F9082C"/>
    <w:rsid w:val="00F90FE4"/>
    <w:rsid w:val="00F94217"/>
    <w:rsid w:val="00FA05FF"/>
    <w:rsid w:val="00FA7870"/>
    <w:rsid w:val="00FB6861"/>
    <w:rsid w:val="00FB7DB9"/>
    <w:rsid w:val="00FC6CE1"/>
    <w:rsid w:val="00FD080F"/>
    <w:rsid w:val="00FD739C"/>
    <w:rsid w:val="00FD7E57"/>
    <w:rsid w:val="00FE4B09"/>
    <w:rsid w:val="00FE515A"/>
    <w:rsid w:val="00FE5B1F"/>
    <w:rsid w:val="00FE5C4D"/>
    <w:rsid w:val="00FF1D5F"/>
    <w:rsid w:val="00FF3CE9"/>
    <w:rsid w:val="00FF7E69"/>
    <w:rsid w:val="04F54BE8"/>
    <w:rsid w:val="05F5301A"/>
    <w:rsid w:val="061D7CF6"/>
    <w:rsid w:val="12F74A64"/>
    <w:rsid w:val="141B0B5C"/>
    <w:rsid w:val="192C447A"/>
    <w:rsid w:val="1A66536E"/>
    <w:rsid w:val="1A8D5D8D"/>
    <w:rsid w:val="1C0331E5"/>
    <w:rsid w:val="1EF00AFB"/>
    <w:rsid w:val="20C17652"/>
    <w:rsid w:val="2496131A"/>
    <w:rsid w:val="25B85552"/>
    <w:rsid w:val="25FB437B"/>
    <w:rsid w:val="274566BD"/>
    <w:rsid w:val="28182608"/>
    <w:rsid w:val="2AA62E41"/>
    <w:rsid w:val="2B6E2007"/>
    <w:rsid w:val="30BD3F27"/>
    <w:rsid w:val="345D1410"/>
    <w:rsid w:val="367D1ED8"/>
    <w:rsid w:val="40B618E5"/>
    <w:rsid w:val="4310635D"/>
    <w:rsid w:val="43A944A0"/>
    <w:rsid w:val="4E502ED4"/>
    <w:rsid w:val="520D0E76"/>
    <w:rsid w:val="52FD61A2"/>
    <w:rsid w:val="58441C07"/>
    <w:rsid w:val="59214361"/>
    <w:rsid w:val="5A9B416A"/>
    <w:rsid w:val="5B6F0CDA"/>
    <w:rsid w:val="5DA93AFE"/>
    <w:rsid w:val="664A5AEB"/>
    <w:rsid w:val="67335BDD"/>
    <w:rsid w:val="6C8A07E8"/>
    <w:rsid w:val="6EEA67D7"/>
    <w:rsid w:val="724D707B"/>
    <w:rsid w:val="72721473"/>
    <w:rsid w:val="72D70CA9"/>
    <w:rsid w:val="76C41047"/>
    <w:rsid w:val="79C14829"/>
    <w:rsid w:val="7E6D2EA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iPriority="0"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6"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18"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paragraph" w:styleId="2">
    <w:name w:val="heading 1"/>
    <w:next w:val="1"/>
    <w:link w:val="62"/>
    <w:qFormat/>
    <w:uiPriority w:val="0"/>
    <w:pPr>
      <w:jc w:val="both"/>
      <w:outlineLvl w:val="0"/>
    </w:pPr>
    <w:rPr>
      <w:rFonts w:asciiTheme="minorHAnsi" w:hAnsiTheme="minorHAnsi" w:eastAsiaTheme="minorEastAsia" w:cstheme="minorBidi"/>
      <w:sz w:val="28"/>
      <w:szCs w:val="28"/>
      <w:lang w:val="en-US" w:eastAsia="zh-CN" w:bidi="ar-SA"/>
    </w:rPr>
  </w:style>
  <w:style w:type="paragraph" w:styleId="3">
    <w:name w:val="heading 2"/>
    <w:next w:val="1"/>
    <w:qFormat/>
    <w:uiPriority w:val="0"/>
    <w:pPr>
      <w:jc w:val="both"/>
      <w:outlineLvl w:val="1"/>
    </w:pPr>
    <w:rPr>
      <w:rFonts w:asciiTheme="minorHAnsi" w:hAnsiTheme="minorHAnsi" w:eastAsiaTheme="minorEastAsia" w:cstheme="minorBidi"/>
      <w:sz w:val="21"/>
      <w:szCs w:val="21"/>
      <w:lang w:val="en-US" w:eastAsia="zh-CN" w:bidi="ar-SA"/>
    </w:rPr>
  </w:style>
  <w:style w:type="paragraph" w:styleId="4">
    <w:name w:val="heading 3"/>
    <w:next w:val="1"/>
    <w:link w:val="63"/>
    <w:qFormat/>
    <w:uiPriority w:val="9"/>
    <w:pPr>
      <w:ind w:left="1000" w:hanging="400"/>
      <w:jc w:val="both"/>
      <w:outlineLvl w:val="2"/>
    </w:pPr>
    <w:rPr>
      <w:rFonts w:asciiTheme="minorHAnsi" w:hAnsiTheme="minorHAnsi" w:eastAsiaTheme="minorEastAsia" w:cstheme="minorBidi"/>
      <w:sz w:val="21"/>
      <w:szCs w:val="21"/>
      <w:lang w:val="en-US" w:eastAsia="zh-CN" w:bidi="ar-SA"/>
    </w:rPr>
  </w:style>
  <w:style w:type="paragraph" w:styleId="5">
    <w:name w:val="heading 4"/>
    <w:next w:val="1"/>
    <w:qFormat/>
    <w:uiPriority w:val="10"/>
    <w:pPr>
      <w:ind w:left="1200" w:hanging="400"/>
      <w:jc w:val="both"/>
      <w:outlineLvl w:val="3"/>
    </w:pPr>
    <w:rPr>
      <w:rFonts w:asciiTheme="minorHAnsi" w:hAnsiTheme="minorHAnsi" w:eastAsiaTheme="minorEastAsia" w:cstheme="minorBidi"/>
      <w:b/>
      <w:sz w:val="21"/>
      <w:szCs w:val="21"/>
      <w:lang w:val="en-US" w:eastAsia="zh-CN" w:bidi="ar-SA"/>
    </w:rPr>
  </w:style>
  <w:style w:type="paragraph" w:styleId="6">
    <w:name w:val="heading 5"/>
    <w:next w:val="1"/>
    <w:qFormat/>
    <w:uiPriority w:val="11"/>
    <w:pPr>
      <w:ind w:left="1400" w:hanging="400"/>
      <w:jc w:val="both"/>
      <w:outlineLvl w:val="4"/>
    </w:pPr>
    <w:rPr>
      <w:rFonts w:asciiTheme="minorHAnsi" w:hAnsiTheme="minorHAnsi" w:eastAsiaTheme="minorEastAsia" w:cstheme="minorBidi"/>
      <w:sz w:val="21"/>
      <w:szCs w:val="21"/>
      <w:lang w:val="en-US" w:eastAsia="zh-CN" w:bidi="ar-SA"/>
    </w:rPr>
  </w:style>
  <w:style w:type="paragraph" w:styleId="7">
    <w:name w:val="heading 6"/>
    <w:next w:val="1"/>
    <w:qFormat/>
    <w:uiPriority w:val="12"/>
    <w:pPr>
      <w:ind w:left="1600" w:hanging="400"/>
      <w:jc w:val="both"/>
      <w:outlineLvl w:val="5"/>
    </w:pPr>
    <w:rPr>
      <w:rFonts w:asciiTheme="minorHAnsi" w:hAnsiTheme="minorHAnsi" w:eastAsiaTheme="minorEastAsia" w:cstheme="minorBidi"/>
      <w:b/>
      <w:sz w:val="21"/>
      <w:szCs w:val="21"/>
      <w:lang w:val="en-US" w:eastAsia="zh-CN" w:bidi="ar-SA"/>
    </w:rPr>
  </w:style>
  <w:style w:type="paragraph" w:styleId="8">
    <w:name w:val="heading 7"/>
    <w:next w:val="1"/>
    <w:qFormat/>
    <w:uiPriority w:val="13"/>
    <w:pPr>
      <w:ind w:left="1800" w:hanging="400"/>
      <w:jc w:val="both"/>
      <w:outlineLvl w:val="6"/>
    </w:pPr>
    <w:rPr>
      <w:rFonts w:asciiTheme="minorHAnsi" w:hAnsiTheme="minorHAnsi" w:eastAsiaTheme="minorEastAsia" w:cstheme="minorBidi"/>
      <w:sz w:val="21"/>
      <w:szCs w:val="21"/>
      <w:lang w:val="en-US" w:eastAsia="zh-CN" w:bidi="ar-SA"/>
    </w:rPr>
  </w:style>
  <w:style w:type="paragraph" w:styleId="9">
    <w:name w:val="heading 8"/>
    <w:next w:val="1"/>
    <w:qFormat/>
    <w:uiPriority w:val="14"/>
    <w:pPr>
      <w:ind w:left="2000" w:hanging="400"/>
      <w:jc w:val="both"/>
      <w:outlineLvl w:val="7"/>
    </w:pPr>
    <w:rPr>
      <w:rFonts w:asciiTheme="minorHAnsi" w:hAnsiTheme="minorHAnsi" w:eastAsiaTheme="minorEastAsia" w:cstheme="minorBidi"/>
      <w:sz w:val="21"/>
      <w:szCs w:val="21"/>
      <w:lang w:val="en-US" w:eastAsia="zh-CN" w:bidi="ar-SA"/>
    </w:rPr>
  </w:style>
  <w:style w:type="paragraph" w:styleId="10">
    <w:name w:val="heading 9"/>
    <w:next w:val="1"/>
    <w:qFormat/>
    <w:uiPriority w:val="15"/>
    <w:pPr>
      <w:ind w:left="2200" w:hanging="400"/>
      <w:jc w:val="both"/>
      <w:outlineLvl w:val="8"/>
    </w:pPr>
    <w:rPr>
      <w:rFonts w:asciiTheme="minorHAnsi" w:hAnsiTheme="minorHAnsi" w:eastAsiaTheme="minorEastAsia" w:cstheme="minorBidi"/>
      <w:sz w:val="21"/>
      <w:szCs w:val="21"/>
      <w:lang w:val="en-US" w:eastAsia="zh-CN" w:bidi="ar-SA"/>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heme="minorHAnsi" w:hAnsiTheme="minorHAnsi" w:eastAsiaTheme="minorEastAsia" w:cstheme="minorBidi"/>
      <w:sz w:val="21"/>
      <w:szCs w:val="21"/>
      <w:lang w:val="en-US" w:eastAsia="zh-CN" w:bidi="ar-SA"/>
    </w:rPr>
  </w:style>
  <w:style w:type="paragraph" w:styleId="12">
    <w:name w:val="Normal Indent"/>
    <w:basedOn w:val="1"/>
    <w:qFormat/>
    <w:uiPriority w:val="0"/>
    <w:pPr>
      <w:widowControl w:val="0"/>
      <w:ind w:firstLine="420"/>
    </w:pPr>
    <w:rPr>
      <w:rFonts w:ascii="Calibri" w:hAnsi="Calibri" w:eastAsia="宋体" w:cs="Times New Roman"/>
      <w:kern w:val="2"/>
      <w:szCs w:val="24"/>
    </w:rPr>
  </w:style>
  <w:style w:type="paragraph" w:styleId="13">
    <w:name w:val="Body Text 3"/>
    <w:basedOn w:val="1"/>
    <w:link w:val="66"/>
    <w:qFormat/>
    <w:uiPriority w:val="0"/>
    <w:pPr>
      <w:widowControl w:val="0"/>
      <w:spacing w:after="120"/>
    </w:pPr>
    <w:rPr>
      <w:rFonts w:ascii="Calibri" w:hAnsi="Calibri" w:eastAsia="宋体" w:cs="Times New Roman"/>
      <w:kern w:val="2"/>
      <w:sz w:val="16"/>
      <w:szCs w:val="16"/>
    </w:rPr>
  </w:style>
  <w:style w:type="paragraph" w:styleId="14">
    <w:name w:val="Body Text Indent"/>
    <w:basedOn w:val="1"/>
    <w:link w:val="60"/>
    <w:qFormat/>
    <w:uiPriority w:val="0"/>
    <w:pPr>
      <w:widowControl w:val="0"/>
      <w:ind w:left="314" w:leftChars="157" w:firstLine="560" w:firstLineChars="200"/>
    </w:pPr>
    <w:rPr>
      <w:rFonts w:ascii="Times New Roman" w:hAnsi="Times New Roman" w:eastAsia="宋体" w:cs="Times New Roman"/>
      <w:sz w:val="28"/>
      <w:szCs w:val="20"/>
    </w:rPr>
  </w:style>
  <w:style w:type="paragraph" w:styleId="15">
    <w:name w:val="toc 5"/>
    <w:next w:val="1"/>
    <w:unhideWhenUsed/>
    <w:qFormat/>
    <w:uiPriority w:val="32"/>
    <w:pPr>
      <w:ind w:left="1700"/>
      <w:jc w:val="both"/>
    </w:pPr>
    <w:rPr>
      <w:rFonts w:asciiTheme="minorHAnsi" w:hAnsiTheme="minorHAnsi" w:eastAsiaTheme="minorEastAsia" w:cstheme="minorBidi"/>
      <w:sz w:val="21"/>
      <w:szCs w:val="21"/>
      <w:lang w:val="en-US" w:eastAsia="zh-CN" w:bidi="ar-SA"/>
    </w:rPr>
  </w:style>
  <w:style w:type="paragraph" w:styleId="16">
    <w:name w:val="toc 3"/>
    <w:next w:val="1"/>
    <w:unhideWhenUsed/>
    <w:qFormat/>
    <w:uiPriority w:val="30"/>
    <w:pPr>
      <w:ind w:left="850"/>
      <w:jc w:val="both"/>
    </w:pPr>
    <w:rPr>
      <w:rFonts w:asciiTheme="minorHAnsi" w:hAnsiTheme="minorHAnsi" w:eastAsiaTheme="minorEastAsia" w:cstheme="minorBidi"/>
      <w:sz w:val="21"/>
      <w:szCs w:val="21"/>
      <w:lang w:val="en-US" w:eastAsia="zh-CN" w:bidi="ar-SA"/>
    </w:rPr>
  </w:style>
  <w:style w:type="paragraph" w:styleId="17">
    <w:name w:val="Plain Text"/>
    <w:basedOn w:val="1"/>
    <w:link w:val="64"/>
    <w:unhideWhenUsed/>
    <w:qFormat/>
    <w:uiPriority w:val="99"/>
    <w:pPr>
      <w:widowControl w:val="0"/>
    </w:pPr>
    <w:rPr>
      <w:rFonts w:ascii="宋体" w:hAnsi="Courier New" w:eastAsia="宋体" w:cs="Courier New"/>
      <w:kern w:val="2"/>
    </w:rPr>
  </w:style>
  <w:style w:type="paragraph" w:styleId="18">
    <w:name w:val="toc 8"/>
    <w:next w:val="1"/>
    <w:unhideWhenUsed/>
    <w:qFormat/>
    <w:uiPriority w:val="35"/>
    <w:pPr>
      <w:ind w:left="2975"/>
      <w:jc w:val="both"/>
    </w:pPr>
    <w:rPr>
      <w:rFonts w:asciiTheme="minorHAnsi" w:hAnsiTheme="minorHAnsi" w:eastAsiaTheme="minorEastAsia" w:cstheme="minorBidi"/>
      <w:sz w:val="21"/>
      <w:szCs w:val="21"/>
      <w:lang w:val="en-US" w:eastAsia="zh-CN" w:bidi="ar-SA"/>
    </w:rPr>
  </w:style>
  <w:style w:type="paragraph" w:styleId="19">
    <w:name w:val="Date"/>
    <w:basedOn w:val="1"/>
    <w:next w:val="1"/>
    <w:link w:val="59"/>
    <w:unhideWhenUsed/>
    <w:qFormat/>
    <w:uiPriority w:val="99"/>
    <w:pPr>
      <w:widowControl w:val="0"/>
      <w:ind w:left="100" w:leftChars="2500"/>
    </w:pPr>
    <w:rPr>
      <w:rFonts w:ascii="Times New Roman" w:hAnsi="Times New Roman" w:eastAsia="宋体" w:cs="Times New Roman"/>
      <w:kern w:val="2"/>
      <w:szCs w:val="24"/>
    </w:rPr>
  </w:style>
  <w:style w:type="paragraph" w:styleId="20">
    <w:name w:val="Balloon Text"/>
    <w:basedOn w:val="1"/>
    <w:link w:val="67"/>
    <w:qFormat/>
    <w:uiPriority w:val="0"/>
    <w:pPr>
      <w:widowControl w:val="0"/>
    </w:pPr>
    <w:rPr>
      <w:rFonts w:ascii="Calibri" w:hAnsi="Calibri" w:eastAsia="宋体" w:cs="Times New Roman"/>
      <w:kern w:val="2"/>
      <w:sz w:val="18"/>
      <w:szCs w:val="18"/>
    </w:rPr>
  </w:style>
  <w:style w:type="paragraph" w:styleId="21">
    <w:name w:val="footer"/>
    <w:basedOn w:val="1"/>
    <w:link w:val="49"/>
    <w:qFormat/>
    <w:uiPriority w:val="99"/>
    <w:pPr>
      <w:tabs>
        <w:tab w:val="center" w:pos="4153"/>
        <w:tab w:val="right" w:pos="8306"/>
      </w:tabs>
      <w:snapToGrid w:val="0"/>
      <w:jc w:val="left"/>
    </w:pPr>
    <w:rPr>
      <w:sz w:val="18"/>
      <w:szCs w:val="18"/>
    </w:rPr>
  </w:style>
  <w:style w:type="paragraph" w:styleId="2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next w:val="1"/>
    <w:unhideWhenUsed/>
    <w:qFormat/>
    <w:uiPriority w:val="0"/>
    <w:pPr>
      <w:jc w:val="both"/>
    </w:pPr>
    <w:rPr>
      <w:rFonts w:asciiTheme="minorHAnsi" w:hAnsiTheme="minorHAnsi" w:eastAsiaTheme="minorEastAsia" w:cstheme="minorBidi"/>
      <w:sz w:val="21"/>
      <w:szCs w:val="21"/>
      <w:lang w:val="en-US" w:eastAsia="zh-CN" w:bidi="ar-SA"/>
    </w:rPr>
  </w:style>
  <w:style w:type="paragraph" w:styleId="24">
    <w:name w:val="toc 4"/>
    <w:next w:val="1"/>
    <w:unhideWhenUsed/>
    <w:qFormat/>
    <w:uiPriority w:val="31"/>
    <w:pPr>
      <w:ind w:left="1275"/>
      <w:jc w:val="both"/>
    </w:pPr>
    <w:rPr>
      <w:rFonts w:asciiTheme="minorHAnsi" w:hAnsiTheme="minorHAnsi" w:eastAsiaTheme="minorEastAsia" w:cstheme="minorBidi"/>
      <w:sz w:val="21"/>
      <w:szCs w:val="21"/>
      <w:lang w:val="en-US" w:eastAsia="zh-CN" w:bidi="ar-SA"/>
    </w:rPr>
  </w:style>
  <w:style w:type="paragraph" w:styleId="25">
    <w:name w:val="Subtitle"/>
    <w:qFormat/>
    <w:uiPriority w:val="16"/>
    <w:pPr>
      <w:jc w:val="center"/>
    </w:pPr>
    <w:rPr>
      <w:rFonts w:asciiTheme="minorHAnsi" w:hAnsiTheme="minorHAnsi" w:eastAsiaTheme="minorEastAsia" w:cstheme="minorBidi"/>
      <w:sz w:val="24"/>
      <w:szCs w:val="24"/>
      <w:lang w:val="en-US" w:eastAsia="zh-CN" w:bidi="ar-SA"/>
    </w:rPr>
  </w:style>
  <w:style w:type="paragraph" w:styleId="26">
    <w:name w:val="toc 6"/>
    <w:next w:val="1"/>
    <w:unhideWhenUsed/>
    <w:qFormat/>
    <w:uiPriority w:val="33"/>
    <w:pPr>
      <w:ind w:left="2125"/>
      <w:jc w:val="both"/>
    </w:pPr>
    <w:rPr>
      <w:rFonts w:asciiTheme="minorHAnsi" w:hAnsiTheme="minorHAnsi" w:eastAsiaTheme="minorEastAsia" w:cstheme="minorBidi"/>
      <w:sz w:val="21"/>
      <w:szCs w:val="21"/>
      <w:lang w:val="en-US" w:eastAsia="zh-CN" w:bidi="ar-SA"/>
    </w:rPr>
  </w:style>
  <w:style w:type="paragraph" w:styleId="27">
    <w:name w:val="toc 2"/>
    <w:next w:val="1"/>
    <w:unhideWhenUsed/>
    <w:qFormat/>
    <w:uiPriority w:val="0"/>
    <w:pPr>
      <w:ind w:left="425"/>
      <w:jc w:val="both"/>
    </w:pPr>
    <w:rPr>
      <w:rFonts w:asciiTheme="minorHAnsi" w:hAnsiTheme="minorHAnsi" w:eastAsiaTheme="minorEastAsia" w:cstheme="minorBidi"/>
      <w:sz w:val="21"/>
      <w:szCs w:val="21"/>
      <w:lang w:val="en-US" w:eastAsia="zh-CN" w:bidi="ar-SA"/>
    </w:rPr>
  </w:style>
  <w:style w:type="paragraph" w:styleId="28">
    <w:name w:val="toc 9"/>
    <w:next w:val="1"/>
    <w:unhideWhenUsed/>
    <w:qFormat/>
    <w:uiPriority w:val="36"/>
    <w:pPr>
      <w:ind w:left="3400"/>
      <w:jc w:val="both"/>
    </w:pPr>
    <w:rPr>
      <w:rFonts w:asciiTheme="minorHAnsi" w:hAnsiTheme="minorHAnsi" w:eastAsiaTheme="minorEastAsia" w:cstheme="minorBidi"/>
      <w:sz w:val="21"/>
      <w:szCs w:val="21"/>
      <w:lang w:val="en-US" w:eastAsia="zh-CN" w:bidi="ar-SA"/>
    </w:rPr>
  </w:style>
  <w:style w:type="paragraph" w:styleId="29">
    <w:name w:val="Title"/>
    <w:link w:val="69"/>
    <w:qFormat/>
    <w:uiPriority w:val="0"/>
    <w:pPr>
      <w:jc w:val="center"/>
    </w:pPr>
    <w:rPr>
      <w:rFonts w:asciiTheme="minorHAnsi" w:hAnsiTheme="minorHAnsi" w:eastAsiaTheme="minorEastAsia" w:cstheme="minorBidi"/>
      <w:b/>
      <w:sz w:val="32"/>
      <w:szCs w:val="32"/>
      <w:lang w:val="en-US" w:eastAsia="zh-CN" w:bidi="ar-SA"/>
    </w:rPr>
  </w:style>
  <w:style w:type="table" w:styleId="31">
    <w:name w:val="Table Grid"/>
    <w:basedOn w:val="30"/>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3">
    <w:name w:val="Strong"/>
    <w:qFormat/>
    <w:uiPriority w:val="99"/>
    <w:rPr>
      <w:b/>
      <w:w w:val="100"/>
      <w:sz w:val="21"/>
      <w:szCs w:val="21"/>
      <w:shd w:val="clear" w:color="auto" w:fill="auto"/>
    </w:rPr>
  </w:style>
  <w:style w:type="character" w:styleId="34">
    <w:name w:val="page number"/>
    <w:basedOn w:val="32"/>
    <w:qFormat/>
    <w:uiPriority w:val="0"/>
  </w:style>
  <w:style w:type="character" w:styleId="35">
    <w:name w:val="Emphasis"/>
    <w:qFormat/>
    <w:uiPriority w:val="18"/>
    <w:rPr>
      <w:i/>
      <w:w w:val="100"/>
      <w:sz w:val="21"/>
      <w:szCs w:val="21"/>
      <w:shd w:val="clear" w:color="auto" w:fill="auto"/>
    </w:rPr>
  </w:style>
  <w:style w:type="character" w:styleId="36">
    <w:name w:val="Hyperlink"/>
    <w:qFormat/>
    <w:uiPriority w:val="0"/>
    <w:rPr>
      <w:color w:val="0000FF"/>
      <w:u w:val="single"/>
    </w:rPr>
  </w:style>
  <w:style w:type="character" w:styleId="37">
    <w:name w:val="annotation reference"/>
    <w:qFormat/>
    <w:uiPriority w:val="0"/>
    <w:rPr>
      <w:sz w:val="21"/>
      <w:szCs w:val="21"/>
    </w:rPr>
  </w:style>
  <w:style w:type="paragraph" w:styleId="38">
    <w:name w:val="No Spacing"/>
    <w:qFormat/>
    <w:uiPriority w:val="99"/>
    <w:pPr>
      <w:jc w:val="both"/>
    </w:pPr>
    <w:rPr>
      <w:rFonts w:asciiTheme="minorHAnsi" w:hAnsiTheme="minorHAnsi" w:eastAsiaTheme="minorEastAsia" w:cstheme="minorBidi"/>
      <w:sz w:val="21"/>
      <w:szCs w:val="21"/>
      <w:lang w:val="en-US" w:eastAsia="zh-CN" w:bidi="ar-SA"/>
    </w:rPr>
  </w:style>
  <w:style w:type="character" w:customStyle="1" w:styleId="39">
    <w:name w:val="不明显强调1"/>
    <w:qFormat/>
    <w:uiPriority w:val="17"/>
    <w:rPr>
      <w:i/>
      <w:color w:val="404040"/>
      <w:w w:val="100"/>
      <w:sz w:val="21"/>
      <w:szCs w:val="21"/>
      <w:shd w:val="clear" w:color="auto" w:fill="auto"/>
    </w:rPr>
  </w:style>
  <w:style w:type="character" w:customStyle="1" w:styleId="40">
    <w:name w:val="明显强调1"/>
    <w:qFormat/>
    <w:uiPriority w:val="19"/>
    <w:rPr>
      <w:i/>
      <w:color w:val="5B9BD5"/>
      <w:w w:val="100"/>
      <w:sz w:val="21"/>
      <w:szCs w:val="21"/>
      <w:shd w:val="clear" w:color="auto" w:fill="auto"/>
    </w:rPr>
  </w:style>
  <w:style w:type="paragraph" w:styleId="41">
    <w:name w:val="Quote"/>
    <w:qFormat/>
    <w:uiPriority w:val="21"/>
    <w:pPr>
      <w:ind w:left="864" w:right="864"/>
      <w:jc w:val="center"/>
    </w:pPr>
    <w:rPr>
      <w:rFonts w:asciiTheme="minorHAnsi" w:hAnsiTheme="minorHAnsi" w:eastAsiaTheme="minorEastAsia" w:cstheme="minorBidi"/>
      <w:i/>
      <w:color w:val="404040"/>
      <w:sz w:val="21"/>
      <w:szCs w:val="21"/>
      <w:lang w:val="en-US" w:eastAsia="zh-CN" w:bidi="ar-SA"/>
    </w:rPr>
  </w:style>
  <w:style w:type="paragraph" w:styleId="42">
    <w:name w:val="Intense Quote"/>
    <w:qFormat/>
    <w:uiPriority w:val="22"/>
    <w:pPr>
      <w:ind w:left="950" w:right="950"/>
      <w:jc w:val="center"/>
    </w:pPr>
    <w:rPr>
      <w:rFonts w:asciiTheme="minorHAnsi" w:hAnsiTheme="minorHAnsi" w:eastAsiaTheme="minorEastAsia" w:cstheme="minorBidi"/>
      <w:i/>
      <w:color w:val="5B9BD5"/>
      <w:sz w:val="21"/>
      <w:szCs w:val="21"/>
      <w:lang w:val="en-US" w:eastAsia="zh-CN" w:bidi="ar-SA"/>
    </w:rPr>
  </w:style>
  <w:style w:type="character" w:customStyle="1" w:styleId="43">
    <w:name w:val="不明显参考1"/>
    <w:qFormat/>
    <w:uiPriority w:val="23"/>
    <w:rPr>
      <w:smallCaps/>
      <w:color w:val="5A5A5A"/>
      <w:w w:val="100"/>
      <w:sz w:val="21"/>
      <w:szCs w:val="21"/>
      <w:shd w:val="clear" w:color="auto" w:fill="auto"/>
    </w:rPr>
  </w:style>
  <w:style w:type="character" w:customStyle="1" w:styleId="44">
    <w:name w:val="明显参考1"/>
    <w:qFormat/>
    <w:uiPriority w:val="24"/>
    <w:rPr>
      <w:b/>
      <w:smallCaps/>
      <w:color w:val="5B9BD5"/>
      <w:w w:val="100"/>
      <w:sz w:val="21"/>
      <w:szCs w:val="21"/>
      <w:shd w:val="clear" w:color="auto" w:fill="auto"/>
    </w:rPr>
  </w:style>
  <w:style w:type="character" w:customStyle="1" w:styleId="45">
    <w:name w:val="书籍标题1"/>
    <w:qFormat/>
    <w:uiPriority w:val="25"/>
    <w:rPr>
      <w:b/>
      <w:i/>
      <w:w w:val="100"/>
      <w:sz w:val="21"/>
      <w:szCs w:val="21"/>
      <w:shd w:val="clear" w:color="auto" w:fill="auto"/>
    </w:rPr>
  </w:style>
  <w:style w:type="paragraph" w:styleId="46">
    <w:name w:val="List Paragraph"/>
    <w:qFormat/>
    <w:uiPriority w:val="34"/>
    <w:pPr>
      <w:ind w:left="850"/>
      <w:jc w:val="both"/>
    </w:pPr>
    <w:rPr>
      <w:rFonts w:asciiTheme="minorHAnsi" w:hAnsiTheme="minorHAnsi" w:eastAsiaTheme="minorEastAsia" w:cstheme="minorBidi"/>
      <w:sz w:val="21"/>
      <w:szCs w:val="21"/>
      <w:lang w:val="en-US" w:eastAsia="zh-CN" w:bidi="ar-SA"/>
    </w:rPr>
  </w:style>
  <w:style w:type="paragraph" w:customStyle="1" w:styleId="47">
    <w:name w:val="TOC 标题1"/>
    <w:unhideWhenUsed/>
    <w:qFormat/>
    <w:uiPriority w:val="27"/>
    <w:pPr>
      <w:jc w:val="both"/>
    </w:pPr>
    <w:rPr>
      <w:rFonts w:asciiTheme="minorHAnsi" w:hAnsiTheme="minorHAnsi" w:eastAsiaTheme="minorEastAsia" w:cstheme="minorBidi"/>
      <w:color w:val="2E74B5"/>
      <w:sz w:val="32"/>
      <w:szCs w:val="32"/>
      <w:lang w:val="en-US" w:eastAsia="zh-CN" w:bidi="ar-SA"/>
    </w:rPr>
  </w:style>
  <w:style w:type="character" w:customStyle="1" w:styleId="48">
    <w:name w:val="页眉 Char"/>
    <w:basedOn w:val="32"/>
    <w:link w:val="22"/>
    <w:qFormat/>
    <w:uiPriority w:val="99"/>
    <w:rPr>
      <w:sz w:val="18"/>
      <w:szCs w:val="18"/>
    </w:rPr>
  </w:style>
  <w:style w:type="character" w:customStyle="1" w:styleId="49">
    <w:name w:val="页脚 Char"/>
    <w:basedOn w:val="32"/>
    <w:link w:val="21"/>
    <w:qFormat/>
    <w:uiPriority w:val="99"/>
    <w:rPr>
      <w:sz w:val="18"/>
      <w:szCs w:val="18"/>
    </w:rPr>
  </w:style>
  <w:style w:type="character" w:customStyle="1" w:styleId="50">
    <w:name w:val="段 Char"/>
    <w:basedOn w:val="32"/>
    <w:link w:val="51"/>
    <w:qFormat/>
    <w:locked/>
    <w:uiPriority w:val="0"/>
    <w:rPr>
      <w:rFonts w:ascii="宋体" w:hAnsi="Times New Roman"/>
      <w:sz w:val="21"/>
    </w:rPr>
  </w:style>
  <w:style w:type="paragraph" w:customStyle="1" w:styleId="51">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sz w:val="21"/>
      <w:lang w:val="en-US" w:eastAsia="zh-CN" w:bidi="ar-SA"/>
    </w:rPr>
  </w:style>
  <w:style w:type="paragraph" w:customStyle="1" w:styleId="52">
    <w:name w:val="一级条标题"/>
    <w:next w:val="51"/>
    <w:qFormat/>
    <w:uiPriority w:val="0"/>
    <w:pPr>
      <w:numPr>
        <w:ilvl w:val="1"/>
        <w:numId w:val="1"/>
      </w:numPr>
      <w:spacing w:beforeLines="50"/>
      <w:ind w:left="993"/>
      <w:outlineLvl w:val="2"/>
    </w:pPr>
    <w:rPr>
      <w:rFonts w:ascii="黑体" w:hAnsi="Times New Roman" w:eastAsia="黑体" w:cs="Times New Roman"/>
      <w:sz w:val="21"/>
      <w:szCs w:val="21"/>
      <w:lang w:val="en-US" w:eastAsia="zh-CN" w:bidi="ar-SA"/>
    </w:rPr>
  </w:style>
  <w:style w:type="character" w:customStyle="1" w:styleId="53">
    <w:name w:val="章标题 Char"/>
    <w:basedOn w:val="32"/>
    <w:link w:val="54"/>
    <w:qFormat/>
    <w:locked/>
    <w:uiPriority w:val="0"/>
    <w:rPr>
      <w:rFonts w:ascii="黑体" w:hAnsi="Times New Roman" w:eastAsia="黑体"/>
      <w:sz w:val="21"/>
    </w:rPr>
  </w:style>
  <w:style w:type="paragraph" w:customStyle="1" w:styleId="54">
    <w:name w:val="章标题"/>
    <w:next w:val="51"/>
    <w:link w:val="53"/>
    <w:qFormat/>
    <w:uiPriority w:val="0"/>
    <w:pPr>
      <w:numPr>
        <w:ilvl w:val="0"/>
        <w:numId w:val="1"/>
      </w:numPr>
      <w:spacing w:beforeLines="100"/>
      <w:jc w:val="both"/>
      <w:outlineLvl w:val="1"/>
    </w:pPr>
    <w:rPr>
      <w:rFonts w:ascii="黑体" w:hAnsi="Times New Roman" w:eastAsia="黑体" w:cstheme="minorBidi"/>
      <w:sz w:val="21"/>
      <w:lang w:val="en-US" w:eastAsia="zh-CN" w:bidi="ar-SA"/>
    </w:rPr>
  </w:style>
  <w:style w:type="paragraph" w:customStyle="1" w:styleId="55">
    <w:name w:val="二级条标题"/>
    <w:basedOn w:val="52"/>
    <w:next w:val="51"/>
    <w:qFormat/>
    <w:uiPriority w:val="0"/>
    <w:pPr>
      <w:numPr>
        <w:ilvl w:val="2"/>
      </w:numPr>
      <w:spacing w:afterLines="50"/>
      <w:ind w:left="1702"/>
      <w:outlineLvl w:val="3"/>
    </w:pPr>
  </w:style>
  <w:style w:type="paragraph" w:customStyle="1" w:styleId="56">
    <w:name w:val="三级条标题"/>
    <w:basedOn w:val="55"/>
    <w:next w:val="51"/>
    <w:qFormat/>
    <w:uiPriority w:val="0"/>
    <w:pPr>
      <w:numPr>
        <w:ilvl w:val="3"/>
      </w:numPr>
      <w:ind w:left="924"/>
      <w:outlineLvl w:val="4"/>
    </w:pPr>
  </w:style>
  <w:style w:type="paragraph" w:customStyle="1" w:styleId="57">
    <w:name w:val="四级条标题"/>
    <w:basedOn w:val="56"/>
    <w:next w:val="51"/>
    <w:qFormat/>
    <w:uiPriority w:val="0"/>
    <w:pPr>
      <w:numPr>
        <w:ilvl w:val="4"/>
      </w:numPr>
      <w:ind w:left="924"/>
      <w:outlineLvl w:val="5"/>
    </w:pPr>
  </w:style>
  <w:style w:type="paragraph" w:customStyle="1" w:styleId="58">
    <w:name w:val="五级条标题"/>
    <w:basedOn w:val="57"/>
    <w:next w:val="51"/>
    <w:qFormat/>
    <w:uiPriority w:val="0"/>
    <w:pPr>
      <w:numPr>
        <w:ilvl w:val="5"/>
      </w:numPr>
      <w:ind w:left="924"/>
      <w:outlineLvl w:val="6"/>
    </w:pPr>
  </w:style>
  <w:style w:type="character" w:customStyle="1" w:styleId="59">
    <w:name w:val="日期 Char"/>
    <w:basedOn w:val="32"/>
    <w:link w:val="19"/>
    <w:qFormat/>
    <w:uiPriority w:val="99"/>
    <w:rPr>
      <w:rFonts w:ascii="Times New Roman" w:hAnsi="Times New Roman" w:eastAsia="宋体" w:cs="Times New Roman"/>
      <w:kern w:val="2"/>
      <w:sz w:val="21"/>
      <w:szCs w:val="24"/>
    </w:rPr>
  </w:style>
  <w:style w:type="character" w:customStyle="1" w:styleId="60">
    <w:name w:val="正文文本缩进 Char"/>
    <w:basedOn w:val="32"/>
    <w:link w:val="14"/>
    <w:qFormat/>
    <w:uiPriority w:val="0"/>
    <w:rPr>
      <w:rFonts w:ascii="Times New Roman" w:hAnsi="Times New Roman" w:eastAsia="宋体" w:cs="Times New Roman"/>
      <w:sz w:val="28"/>
    </w:rPr>
  </w:style>
  <w:style w:type="paragraph" w:customStyle="1" w:styleId="61">
    <w:name w:val="毕论正文"/>
    <w:basedOn w:val="1"/>
    <w:qFormat/>
    <w:uiPriority w:val="0"/>
    <w:pPr>
      <w:widowControl w:val="0"/>
      <w:spacing w:line="400" w:lineRule="exact"/>
      <w:ind w:firstLine="640" w:firstLineChars="200"/>
    </w:pPr>
    <w:rPr>
      <w:rFonts w:ascii="Times New Roman" w:hAnsi="Times New Roman" w:eastAsia="Times New Roman" w:cs="Times New Roman"/>
      <w:sz w:val="24"/>
      <w:szCs w:val="20"/>
    </w:rPr>
  </w:style>
  <w:style w:type="character" w:customStyle="1" w:styleId="62">
    <w:name w:val="标题 1 Char"/>
    <w:basedOn w:val="32"/>
    <w:link w:val="2"/>
    <w:qFormat/>
    <w:uiPriority w:val="7"/>
    <w:rPr>
      <w:sz w:val="28"/>
      <w:szCs w:val="28"/>
    </w:rPr>
  </w:style>
  <w:style w:type="character" w:customStyle="1" w:styleId="63">
    <w:name w:val="标题 3 Char"/>
    <w:basedOn w:val="32"/>
    <w:link w:val="4"/>
    <w:qFormat/>
    <w:uiPriority w:val="9"/>
    <w:rPr>
      <w:sz w:val="21"/>
      <w:szCs w:val="21"/>
    </w:rPr>
  </w:style>
  <w:style w:type="character" w:customStyle="1" w:styleId="64">
    <w:name w:val="纯文本 Char"/>
    <w:basedOn w:val="32"/>
    <w:link w:val="17"/>
    <w:qFormat/>
    <w:uiPriority w:val="99"/>
    <w:rPr>
      <w:rFonts w:ascii="宋体" w:hAnsi="Courier New" w:eastAsia="宋体" w:cs="Courier New"/>
      <w:kern w:val="2"/>
      <w:sz w:val="21"/>
      <w:szCs w:val="21"/>
    </w:rPr>
  </w:style>
  <w:style w:type="paragraph" w:customStyle="1" w:styleId="65">
    <w:name w:val="_Style 5"/>
    <w:basedOn w:val="2"/>
    <w:next w:val="1"/>
    <w:qFormat/>
    <w:uiPriority w:val="39"/>
    <w:pPr>
      <w:keepNext/>
      <w:keepLines/>
      <w:spacing w:before="480" w:line="276" w:lineRule="auto"/>
      <w:jc w:val="left"/>
      <w:outlineLvl w:val="9"/>
    </w:pPr>
    <w:rPr>
      <w:rFonts w:ascii="Cambria" w:hAnsi="Cambria" w:eastAsia="宋体" w:cs="Times New Roman"/>
      <w:b/>
      <w:bCs/>
      <w:color w:val="365F91"/>
    </w:rPr>
  </w:style>
  <w:style w:type="character" w:customStyle="1" w:styleId="66">
    <w:name w:val="正文文本 3 Char"/>
    <w:basedOn w:val="32"/>
    <w:link w:val="13"/>
    <w:qFormat/>
    <w:uiPriority w:val="0"/>
    <w:rPr>
      <w:rFonts w:ascii="Calibri" w:hAnsi="Calibri" w:eastAsia="宋体" w:cs="Times New Roman"/>
      <w:kern w:val="2"/>
      <w:sz w:val="16"/>
      <w:szCs w:val="16"/>
    </w:rPr>
  </w:style>
  <w:style w:type="character" w:customStyle="1" w:styleId="67">
    <w:name w:val="批注框文本 Char"/>
    <w:basedOn w:val="32"/>
    <w:link w:val="20"/>
    <w:qFormat/>
    <w:uiPriority w:val="0"/>
    <w:rPr>
      <w:rFonts w:ascii="Calibri" w:hAnsi="Calibri" w:eastAsia="宋体" w:cs="Times New Roman"/>
      <w:kern w:val="2"/>
      <w:sz w:val="18"/>
      <w:szCs w:val="18"/>
    </w:rPr>
  </w:style>
  <w:style w:type="character" w:customStyle="1" w:styleId="68">
    <w:name w:val="不明显强调2"/>
    <w:qFormat/>
    <w:uiPriority w:val="19"/>
    <w:rPr>
      <w:i/>
      <w:iCs/>
      <w:color w:val="7E7E7E"/>
    </w:rPr>
  </w:style>
  <w:style w:type="character" w:customStyle="1" w:styleId="69">
    <w:name w:val="标题 Char"/>
    <w:link w:val="29"/>
    <w:qFormat/>
    <w:uiPriority w:val="0"/>
    <w:rPr>
      <w:b/>
      <w:sz w:val="32"/>
      <w:szCs w:val="32"/>
    </w:rPr>
  </w:style>
  <w:style w:type="paragraph" w:customStyle="1" w:styleId="7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Char"/>
    <w:basedOn w:val="1"/>
    <w:qFormat/>
    <w:uiPriority w:val="0"/>
    <w:pPr>
      <w:spacing w:after="160" w:line="240" w:lineRule="exact"/>
      <w:jc w:val="left"/>
    </w:pPr>
    <w:rPr>
      <w:rFonts w:ascii="宋体" w:hAnsi="宋体"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textRotate="1"/>
    <customShpInfo spid="_x0000_s2051" textRotate="1"/>
    <customShpInfo spid="_x0000_s107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34020C-338B-4C4E-AEFB-1DD886C24A2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704</Words>
  <Characters>4018</Characters>
  <Lines>33</Lines>
  <Paragraphs>9</Paragraphs>
  <TotalTime>1</TotalTime>
  <ScaleCrop>false</ScaleCrop>
  <LinksUpToDate>false</LinksUpToDate>
  <CharactersWithSpaces>4713</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2018-07-18T10:51:00Z</dcterms:created>
  <dc:creator>Administrator</dc:creator>
  <cp:lastModifiedBy>你猜猜</cp:lastModifiedBy>
  <cp:lastPrinted>2019-08-09T09:42:00Z</cp:lastPrinted>
  <dcterms:modified xsi:type="dcterms:W3CDTF">2019-08-16T06:45:31Z</dcterms:modified>
  <cp:revision>293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